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CAB7E" w14:textId="3B923D24" w:rsidR="00B83CCB" w:rsidRDefault="00B83CCB" w:rsidP="00B83CCB">
      <w:r>
        <w:rPr>
          <w:rFonts w:hint="eastAsia"/>
        </w:rPr>
        <w:t xml:space="preserve">To: </w:t>
      </w:r>
      <w:r>
        <w:tab/>
      </w:r>
      <w:r>
        <w:tab/>
      </w:r>
      <w:r>
        <w:rPr>
          <w:rFonts w:hint="eastAsia"/>
        </w:rPr>
        <w:t>EGR Corporation</w:t>
      </w:r>
    </w:p>
    <w:p w14:paraId="3D6F5722" w14:textId="63FF69A3" w:rsidR="00B83CCB" w:rsidRDefault="00B83CCB" w:rsidP="00B83CCB">
      <w:r>
        <w:rPr>
          <w:rFonts w:hint="eastAsia"/>
        </w:rPr>
        <w:t>From</w:t>
      </w:r>
      <w:proofErr w:type="gramStart"/>
      <w:r>
        <w:rPr>
          <w:rFonts w:hint="eastAsia"/>
        </w:rPr>
        <w:t xml:space="preserve">: </w:t>
      </w:r>
      <w:r>
        <w:tab/>
      </w:r>
      <w:r>
        <w:rPr>
          <w:rFonts w:hint="eastAsia"/>
        </w:rPr>
        <w:t>NAMES</w:t>
      </w:r>
      <w:proofErr w:type="gramEnd"/>
    </w:p>
    <w:p w14:paraId="5796E590" w14:textId="74405B67" w:rsidR="00B83CCB" w:rsidRDefault="00B83CCB" w:rsidP="00B83CCB">
      <w:r>
        <w:rPr>
          <w:rFonts w:hint="eastAsia"/>
        </w:rPr>
        <w:t xml:space="preserve">Subject: </w:t>
      </w:r>
      <w:r w:rsidRPr="00B83CCB">
        <w:t>Request for Design Analysis and Benchmarking Services</w:t>
      </w:r>
    </w:p>
    <w:p w14:paraId="797E01DD" w14:textId="58848FB8" w:rsidR="00B83CCB" w:rsidRDefault="00B83CCB" w:rsidP="00B83CCB">
      <w:r>
        <w:rPr>
          <w:rFonts w:hint="eastAsia"/>
        </w:rPr>
        <w:t>Date</w:t>
      </w:r>
      <w:proofErr w:type="gramStart"/>
      <w:r>
        <w:rPr>
          <w:rFonts w:hint="eastAsia"/>
        </w:rPr>
        <w:t xml:space="preserve">: </w:t>
      </w:r>
      <w:r>
        <w:tab/>
        <w:t>January</w:t>
      </w:r>
      <w:proofErr w:type="gramEnd"/>
      <w:r>
        <w:t xml:space="preserve"> </w:t>
      </w:r>
      <w:r>
        <w:rPr>
          <w:rFonts w:hint="eastAsia"/>
        </w:rPr>
        <w:t>25</w:t>
      </w:r>
      <w:r>
        <w:t>, 2026</w:t>
      </w:r>
    </w:p>
    <w:p w14:paraId="2382EA0E" w14:textId="77777777" w:rsidR="00B83CCB" w:rsidRDefault="00B83CCB" w:rsidP="00B83CCB"/>
    <w:p w14:paraId="40EE9521" w14:textId="77777777" w:rsidR="00B83CCB" w:rsidRDefault="00B83CCB" w:rsidP="00B83CCB">
      <w:pPr>
        <w:rPr>
          <w:rFonts w:hint="eastAsia"/>
        </w:rPr>
      </w:pPr>
    </w:p>
    <w:p w14:paraId="5E9D6877" w14:textId="652EFCA1" w:rsidR="00B83CCB" w:rsidRDefault="00B83CCB">
      <w:r>
        <w:rPr>
          <w:rFonts w:hint="eastAsia"/>
        </w:rPr>
        <w:t>[Proposal Evaluation Board]</w:t>
      </w:r>
    </w:p>
    <w:p w14:paraId="1C93BF2C" w14:textId="4344707F" w:rsidR="00B83CCB" w:rsidRPr="00B83CCB" w:rsidRDefault="00B83CCB">
      <w:pPr>
        <w:rPr>
          <w:rFonts w:hint="eastAsia"/>
        </w:rPr>
      </w:pPr>
      <w:r>
        <w:rPr>
          <w:rFonts w:hint="eastAsia"/>
        </w:rPr>
        <w:t xml:space="preserve">The purpose of this memo is to </w:t>
      </w:r>
      <w:r>
        <w:t>respond</w:t>
      </w:r>
      <w:r>
        <w:rPr>
          <w:rFonts w:hint="eastAsia"/>
        </w:rPr>
        <w:t xml:space="preserve"> to your recent request for </w:t>
      </w:r>
      <w:r>
        <w:t>…</w:t>
      </w:r>
    </w:p>
    <w:p w14:paraId="1B3D1753" w14:textId="77777777" w:rsidR="00B83CCB" w:rsidRDefault="00B83CCB"/>
    <w:p w14:paraId="76C83BC8" w14:textId="57BD7BA4" w:rsidR="00B83CCB" w:rsidRDefault="00B83CCB">
      <w:r>
        <w:rPr>
          <w:rFonts w:hint="eastAsia"/>
        </w:rPr>
        <w:t>[Executive Summary]</w:t>
      </w:r>
    </w:p>
    <w:p w14:paraId="50773166" w14:textId="1A0CA749" w:rsidR="00B83CCB" w:rsidRPr="00B83CCB" w:rsidRDefault="00B83CCB">
      <w:pPr>
        <w:rPr>
          <w:color w:val="45B0E1" w:themeColor="accent1" w:themeTint="99"/>
        </w:rPr>
      </w:pPr>
      <w:r w:rsidRPr="00B83CCB">
        <w:rPr>
          <w:color w:val="45B0E1" w:themeColor="accent1" w:themeTint="99"/>
        </w:rPr>
        <w:t>Captures and succinctly summarizes the “Why, What, How, Where, and When” informational elements, and conveys the conclusions and recommendations of your activities described in the Core Documen</w:t>
      </w:r>
      <w:r w:rsidRPr="00B83CCB">
        <w:rPr>
          <w:rFonts w:hint="eastAsia"/>
          <w:color w:val="45B0E1" w:themeColor="accent1" w:themeTint="99"/>
        </w:rPr>
        <w:t>t</w:t>
      </w:r>
    </w:p>
    <w:p w14:paraId="1802AB1C" w14:textId="596A7212" w:rsidR="00B83CCB" w:rsidRPr="00B83CCB" w:rsidRDefault="00B83CCB">
      <w:pPr>
        <w:rPr>
          <w:color w:val="45B0E1" w:themeColor="accent1" w:themeTint="99"/>
        </w:rPr>
      </w:pPr>
      <w:r w:rsidRPr="00B83CCB">
        <w:rPr>
          <w:color w:val="45B0E1" w:themeColor="accent1" w:themeTint="99"/>
        </w:rPr>
        <w:t xml:space="preserve">It should usually contain: (1) a brief statement of the problem to be solved, (2) important background or other vital contextual information, (3) a concise analysis description (e.g., key methods, techniques, and tools used), and (4) a summary of main conclusions and/or recommendations For EGR121 DC reports, the Executive Summary is generally 1/4 – 2/3 of a page long. </w:t>
      </w:r>
    </w:p>
    <w:p w14:paraId="5BDE9FA8" w14:textId="77777777" w:rsidR="00B83CCB" w:rsidRDefault="00B83CCB"/>
    <w:p w14:paraId="3E1E1E82" w14:textId="77777777" w:rsidR="00B83CCB" w:rsidRPr="00B83CCB" w:rsidRDefault="00B83CCB">
      <w:pPr>
        <w:rPr>
          <w:rFonts w:hint="eastAsia"/>
        </w:rPr>
      </w:pPr>
    </w:p>
    <w:p w14:paraId="5FFBF5EB" w14:textId="792CA8D1" w:rsidR="00B83CCB" w:rsidRDefault="00B83CCB">
      <w:r>
        <w:rPr>
          <w:rFonts w:hint="eastAsia"/>
        </w:rPr>
        <w:t>[Descriptive of approach]</w:t>
      </w:r>
    </w:p>
    <w:p w14:paraId="7E8162FF" w14:textId="5539E39F" w:rsidR="00B83CCB" w:rsidRDefault="00B83CCB">
      <w:r>
        <w:rPr>
          <w:rFonts w:hint="eastAsia"/>
        </w:rPr>
        <w:t xml:space="preserve">The team </w:t>
      </w:r>
      <w:r>
        <w:t>…</w:t>
      </w:r>
    </w:p>
    <w:p w14:paraId="6CC49E66" w14:textId="77777777" w:rsidR="00B83CCB" w:rsidRDefault="00B83CCB">
      <w:pPr>
        <w:rPr>
          <w:rFonts w:hint="eastAsia"/>
        </w:rPr>
      </w:pPr>
    </w:p>
    <w:p w14:paraId="0C65892C" w14:textId="1559A621" w:rsidR="00B83CCB" w:rsidRDefault="00B83CCB">
      <w:r>
        <w:rPr>
          <w:rFonts w:hint="eastAsia"/>
        </w:rPr>
        <w:t>[Summary of Findings]</w:t>
      </w:r>
    </w:p>
    <w:p w14:paraId="65037FBA" w14:textId="77777777" w:rsidR="00D02D03" w:rsidRPr="00D02D03" w:rsidRDefault="00D02D03" w:rsidP="00D02D03">
      <w:pPr>
        <w:pStyle w:val="a9"/>
        <w:numPr>
          <w:ilvl w:val="0"/>
          <w:numId w:val="1"/>
        </w:numPr>
        <w:rPr>
          <w:color w:val="45B0E1" w:themeColor="accent1" w:themeTint="99"/>
        </w:rPr>
      </w:pPr>
      <w:r w:rsidRPr="00D02D03">
        <w:rPr>
          <w:color w:val="45B0E1" w:themeColor="accent1" w:themeTint="99"/>
        </w:rPr>
        <w:t xml:space="preserve">Innovative or otherwise notable design features </w:t>
      </w:r>
    </w:p>
    <w:p w14:paraId="2E23C8AD" w14:textId="77777777" w:rsidR="00D02D03" w:rsidRPr="00D02D03" w:rsidRDefault="00D02D03" w:rsidP="00D02D03">
      <w:pPr>
        <w:pStyle w:val="a9"/>
        <w:numPr>
          <w:ilvl w:val="0"/>
          <w:numId w:val="1"/>
        </w:numPr>
        <w:rPr>
          <w:color w:val="45B0E1" w:themeColor="accent1" w:themeTint="99"/>
        </w:rPr>
      </w:pPr>
      <w:r w:rsidRPr="00D02D03">
        <w:rPr>
          <w:color w:val="45B0E1" w:themeColor="accent1" w:themeTint="99"/>
        </w:rPr>
        <w:t xml:space="preserve">Suggestions for design improvements including cost reductions </w:t>
      </w:r>
    </w:p>
    <w:p w14:paraId="11989EB5" w14:textId="77777777" w:rsidR="00D02D03" w:rsidRPr="00D02D03" w:rsidRDefault="00D02D03" w:rsidP="00D02D03">
      <w:pPr>
        <w:pStyle w:val="a9"/>
        <w:numPr>
          <w:ilvl w:val="0"/>
          <w:numId w:val="1"/>
        </w:numPr>
        <w:rPr>
          <w:color w:val="45B0E1" w:themeColor="accent1" w:themeTint="99"/>
        </w:rPr>
      </w:pPr>
      <w:r w:rsidRPr="00D02D03">
        <w:rPr>
          <w:color w:val="45B0E1" w:themeColor="accent1" w:themeTint="99"/>
        </w:rPr>
        <w:t xml:space="preserve">Post-Use Environmental Responsibility: how might you Recycle, Reuse, or Repurpose (R </w:t>
      </w:r>
    </w:p>
    <w:p w14:paraId="3FE96EA9" w14:textId="77777777" w:rsidR="00D02D03" w:rsidRPr="00D02D03" w:rsidRDefault="00D02D03" w:rsidP="00D02D03">
      <w:pPr>
        <w:pStyle w:val="a9"/>
        <w:numPr>
          <w:ilvl w:val="0"/>
          <w:numId w:val="1"/>
        </w:numPr>
        <w:rPr>
          <w:color w:val="45B0E1" w:themeColor="accent1" w:themeTint="99"/>
        </w:rPr>
      </w:pPr>
      <w:r w:rsidRPr="00D02D03">
        <w:rPr>
          <w:color w:val="45B0E1" w:themeColor="accent1" w:themeTint="99"/>
        </w:rPr>
        <w:t xml:space="preserve">Costed Bill of Materials (BOM) (see Example C.) </w:t>
      </w:r>
    </w:p>
    <w:p w14:paraId="379E57CD" w14:textId="77777777" w:rsidR="00D02D03" w:rsidRPr="00D02D03" w:rsidRDefault="00D02D03" w:rsidP="00D02D03">
      <w:pPr>
        <w:pStyle w:val="a9"/>
        <w:numPr>
          <w:ilvl w:val="0"/>
          <w:numId w:val="1"/>
        </w:numPr>
        <w:rPr>
          <w:color w:val="45B0E1" w:themeColor="accent1" w:themeTint="99"/>
        </w:rPr>
      </w:pPr>
      <w:r w:rsidRPr="00D02D03">
        <w:rPr>
          <w:color w:val="45B0E1" w:themeColor="accent1" w:themeTint="99"/>
        </w:rPr>
        <w:t xml:space="preserve">Structured Assembly (see example D.) </w:t>
      </w:r>
    </w:p>
    <w:p w14:paraId="0C219479" w14:textId="79471931" w:rsidR="00D02D03" w:rsidRPr="00D02D03" w:rsidRDefault="00D02D03" w:rsidP="00D02D03">
      <w:pPr>
        <w:pStyle w:val="a9"/>
        <w:numPr>
          <w:ilvl w:val="0"/>
          <w:numId w:val="1"/>
        </w:numPr>
        <w:rPr>
          <w:color w:val="45B0E1" w:themeColor="accent1" w:themeTint="99"/>
        </w:rPr>
      </w:pPr>
      <w:r w:rsidRPr="00D02D03">
        <w:rPr>
          <w:color w:val="45B0E1" w:themeColor="accent1" w:themeTint="99"/>
        </w:rPr>
        <w:t>Exploded Assembly view sketches (see example E.)</w:t>
      </w:r>
    </w:p>
    <w:p w14:paraId="5A89DE53" w14:textId="77777777" w:rsidR="00B83CCB" w:rsidRDefault="00B83CCB"/>
    <w:p w14:paraId="2DC545E2" w14:textId="439E16F3" w:rsidR="0073665D" w:rsidRDefault="0073665D">
      <w:pPr>
        <w:rPr>
          <w:rFonts w:hint="eastAsia"/>
        </w:rPr>
      </w:pPr>
    </w:p>
    <w:p w14:paraId="78306257" w14:textId="77777777" w:rsidR="0073665D" w:rsidRDefault="0073665D">
      <w:pPr>
        <w:rPr>
          <w:rFonts w:hint="eastAsia"/>
        </w:rPr>
      </w:pPr>
    </w:p>
    <w:p w14:paraId="38FE2B2C" w14:textId="34BA14FF" w:rsidR="00B83CCB" w:rsidRDefault="00B83CCB">
      <w:r>
        <w:rPr>
          <w:rFonts w:hint="eastAsia"/>
        </w:rPr>
        <w:t>[Summary and Conclusions]</w:t>
      </w:r>
    </w:p>
    <w:p w14:paraId="416B7AB4" w14:textId="77777777" w:rsidR="00B83CCB" w:rsidRDefault="00B83CCB"/>
    <w:p w14:paraId="1D62A4F9" w14:textId="63AD373A" w:rsidR="00B83CCB" w:rsidRDefault="00B83CCB">
      <w:r>
        <w:rPr>
          <w:rFonts w:hint="eastAsia"/>
        </w:rPr>
        <w:t>[Appendix]</w:t>
      </w:r>
    </w:p>
    <w:p w14:paraId="5372FDCC" w14:textId="77777777" w:rsidR="00B83CCB" w:rsidRDefault="00B83CCB"/>
    <w:p w14:paraId="197A797C" w14:textId="77777777" w:rsidR="00B83CCB" w:rsidRDefault="00B83CCB">
      <w:pPr>
        <w:rPr>
          <w:rFonts w:hint="eastAsia"/>
        </w:rPr>
      </w:pPr>
    </w:p>
    <w:sectPr w:rsidR="00B83CCB" w:rsidSect="00B83CCB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186F37"/>
    <w:multiLevelType w:val="hybridMultilevel"/>
    <w:tmpl w:val="1396D260"/>
    <w:lvl w:ilvl="0" w:tplc="49E4039E"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848788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C99"/>
    <w:rsid w:val="00276C99"/>
    <w:rsid w:val="00563F12"/>
    <w:rsid w:val="00634FDD"/>
    <w:rsid w:val="0073665D"/>
    <w:rsid w:val="00B83CCB"/>
    <w:rsid w:val="00C3421B"/>
    <w:rsid w:val="00D02D03"/>
    <w:rsid w:val="00F63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9D434"/>
  <w15:chartTrackingRefBased/>
  <w15:docId w15:val="{DE22965C-2EF5-45C6-9D2B-B054BEA65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76C9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6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6C9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6C9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6C9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6C9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6C9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6C9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6C9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76C9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76C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76C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76C9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76C9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76C9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76C9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76C9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76C9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76C9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76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6C9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76C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76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76C9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6C9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6C9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6C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76C9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76C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B7AFF2-CBB0-4711-8026-730378CA77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186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Xiaoyao Xu</dc:creator>
  <cp:keywords/>
  <dc:description/>
  <cp:lastModifiedBy>Xiaoyao Xu</cp:lastModifiedBy>
  <cp:revision>4</cp:revision>
  <dcterms:created xsi:type="dcterms:W3CDTF">2026-01-16T01:00:00Z</dcterms:created>
  <dcterms:modified xsi:type="dcterms:W3CDTF">2026-01-16T01:26:00Z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ee6ec803-138b-4642-8f8f-37d7af5dcf4c</vt:lpwstr>
  </property>
</Properties>
</file>