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합성 자료 첫째 쪽 BLUEBOX17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합성 표</w:t>
            </w:r>
          </w:p>
        </w:tc>
        <w:tc>
          <w:tcPr>
            <w:tcW w:type="dxa" w:w="4320"/>
          </w:tcPr>
          <w:p>
            <w:r>
              <w:t>ORANGECIRCLE42</w:t>
            </w:r>
          </w:p>
        </w:tc>
      </w:tr>
      <w:tr>
        <w:tc>
          <w:tcPr>
            <w:tcW w:type="dxa" w:w="4320"/>
          </w:tcPr>
          <w:p>
            <w:r>
              <w:t>자료</w:t>
            </w:r>
          </w:p>
        </w:tc>
        <w:tc>
          <w:tcPr>
            <w:tcW w:type="dxa" w:w="4320"/>
          </w:tcPr>
          <w:p>
            <w:r>
              <w:t>확인</w:t>
            </w:r>
          </w:p>
        </w:tc>
      </w:tr>
    </w:tbl>
    <w:p>
      <w:r>
        <w:br w:type="page"/>
      </w:r>
    </w:p>
    <w:p>
      <w:r>
        <w:t>합성 자료 둘째 쪽 END_NATIVE_DOCUMENT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/>
      <w:sz w:val="24"/>
      <w:rFonts w:eastAsia="Noto Sans CJK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BARO synthetic fixture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