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5C4C"/>
          <w:sz w:val="56"/>
          <w:szCs w:val="56"/>
        </w:rPr>
        <w:t xml:space="preserve">QUALITRACKER</w:t>
      </w:r>
    </w:p>
    <w:p>
      <w:pPr>
        <w:spacing w:after="100" w:before="200"/>
        <w:jc w:val="center"/>
      </w:pPr>
      <w:r>
        <w:rPr>
          <w:color w:val="333333"/>
          <w:sz w:val="32"/>
          <w:szCs w:val="32"/>
        </w:rPr>
        <w:t xml:space="preserve">Website Intelligence &amp; Strategy Blueprint</w:t>
      </w:r>
    </w:p>
    <w:p>
      <w:pPr>
        <w:spacing w:after="600"/>
        <w:jc w:val="center"/>
      </w:pPr>
      <w:r>
        <w:rPr>
          <w:i/>
          <w:iCs/>
          <w:color w:val="5B6B66"/>
          <w:sz w:val="22"/>
          <w:szCs w:val="22"/>
        </w:rPr>
        <w:t xml:space="preserve">Prepared using the CREOVA Website Intelligence &amp; Conversion Operating System v1.0</w:t>
      </w:r>
    </w:p>
    <w:p>
      <w:pPr>
        <w:jc w:val="center"/>
      </w:pPr>
      <w:r>
        <w:rPr>
          <w:sz w:val="20"/>
          <w:szCs w:val="20"/>
        </w:rPr>
        <w:t xml:space="preserve">Prepared for: QualiTracker Founding Team (Damian Job Kahamba, Founding CEO)</w:t>
      </w:r>
    </w:p>
    <w:p>
      <w:pPr>
        <w:spacing w:after="400"/>
        <w:jc w:val="center"/>
      </w:pPr>
      <w:r>
        <w:rPr>
          <w:sz w:val="20"/>
          <w:szCs w:val="20"/>
        </w:rPr>
        <w:t xml:space="preserve">Prepared by: CREOVA  |  August 2026</w:t>
      </w:r>
    </w:p>
    <w:p>
      <w:pPr>
        <w:spacing w:before="400"/>
        <w:jc w:val="center"/>
      </w:pPr>
      <w:r>
        <w:rPr>
          <w:b/>
          <w:bCs/>
          <w:sz w:val="20"/>
          <w:szCs w:val="20"/>
        </w:rPr>
        <w:t xml:space="preserve">Evidence key used throughout this document:</w:t>
      </w:r>
    </w:p>
    <w:p>
      <w:pPr>
        <w:jc w:val="center"/>
      </w:pPr>
      <w:r>
        <w:rPr>
          <w:b/>
          <w:bCs/>
          <w:color w:val="1F5C4C"/>
          <w:sz w:val="18"/>
          <w:szCs w:val="18"/>
        </w:rPr>
        <w:t xml:space="preserve"> [VERIFIED] </w:t>
      </w:r>
      <w:r>
        <w:rPr>
          <w:sz w:val="18"/>
          <w:szCs w:val="18"/>
        </w:rPr>
        <w:t xml:space="preserve"> from the QualiTracker Master Execution Plan   </w:t>
      </w:r>
      <w:r>
        <w:rPr>
          <w:b/>
          <w:bCs/>
          <w:color w:val="8A6D1D"/>
          <w:sz w:val="18"/>
          <w:szCs w:val="18"/>
        </w:rPr>
        <w:t xml:space="preserve"> [INFERRED] </w:t>
      </w:r>
      <w:r>
        <w:rPr>
          <w:sz w:val="18"/>
          <w:szCs w:val="18"/>
        </w:rPr>
        <w:t xml:space="preserve"> reasonable conclusion from evidence   </w:t>
      </w:r>
    </w:p>
    <w:p>
      <w:pPr>
        <w:jc w:val="center"/>
      </w:pPr>
      <w:r>
        <w:rPr>
          <w:b/>
          <w:bCs/>
          <w:color w:val="1F4E79"/>
          <w:sz w:val="18"/>
          <w:szCs w:val="18"/>
        </w:rPr>
        <w:t xml:space="preserve"> [RECOMMENDED] </w:t>
      </w:r>
      <w:r>
        <w:rPr>
          <w:sz w:val="18"/>
          <w:szCs w:val="18"/>
        </w:rPr>
        <w:t xml:space="preserve"> strategic recommendation, not yet confirmed   </w:t>
      </w:r>
      <w:r>
        <w:rPr>
          <w:b/>
          <w:bCs/>
          <w:color w:val="7A1F1F"/>
          <w:sz w:val="18"/>
          <w:szCs w:val="18"/>
        </w:rPr>
        <w:t xml:space="preserve"> [UNKNOWN] </w:t>
      </w:r>
      <w:r>
        <w:rPr>
          <w:sz w:val="18"/>
          <w:szCs w:val="18"/>
        </w:rPr>
        <w:t xml:space="preserve"> cannot currently be verified</w:t>
      </w:r>
    </w:p>
    <w:p>
      <w:r>
        <w:br w:type="page"/>
      </w:r>
    </w:p>
    <w:p>
      <w:pPr>
        <w:pStyle w:val="Heading1"/>
        <w:spacing w:after="200" w:before="480"/>
      </w:pPr>
      <w:r>
        <w:t xml:space="preserve">1. Executive Verdict</w:t>
      </w:r>
    </w:p>
    <w:p>
      <w:pPr>
        <w:spacing w:after="160"/>
      </w:pPr>
      <w:r>
        <w:t xml:space="preserve">QualiTracker has a genuinely strong underlying story: a founder with direct operational credibility inside the exact problem (NPHL Tanzania), a real working codebase to build from, a validation-gated MVP timeline, and a market that global LIMS/QMS vendors have priced and designed themselves out of. That is a rare foundation for a venture website — most startups have to manufacture a narrative; QualiTracker already has one.</w:t>
      </w:r>
    </w:p>
    <w:p>
      <w:pPr>
        <w:spacing w:after="160"/>
      </w:pPr>
      <w:r>
        <w:rPr>
          <w:b/>
          <w:bCs/>
          <w:color w:val="1F4E79"/>
          <w:sz w:val="18"/>
          <w:szCs w:val="18"/>
        </w:rPr>
        <w:t xml:space="preserve"> [RECOMMENDED] </w:t>
      </w:r>
      <w:r>
        <w:t xml:space="preserve">The single biggest risk to the website is not design or copywriting quality — it's evidence discipline. QualiTracker's own plan lists NPHL as a deployment reference and Damian's founding credentials as "social proof." These are real and should be used. But nothing else — customer counts, logos, testimonials, accreditation status, pilot results — currently exists and must not be fabricated or implied on the site.</w:t>
      </w:r>
    </w:p>
    <w:p>
      <w:pPr>
        <w:pStyle w:val="Heading3"/>
        <w:spacing w:after="120" w:before="240"/>
      </w:pPr>
      <w:r>
        <w:t xml:space="preserve">Overall Verdict</w:t>
      </w:r>
    </w:p>
    <w:p>
      <w:pPr>
        <w:pBdr>
          <w:left w:val="single" w:color="1F5C4C" w:sz="12" w:space="8"/>
        </w:pBdr>
        <w:spacing w:after="200" w:before="100"/>
        <w:ind w:left="360"/>
      </w:pPr>
      <w:r>
        <w:rPr>
          <w:i/>
          <w:iCs/>
        </w:rPr>
        <w:t xml:space="preserve">LAUNCH AFTER FOUNDATIONAL WORK — the venture has real substance; the website needs disciplined information architecture, an honest trust section, and a homepage built around the specific East African lab operator, not a generic SaaS template, before it goes live on June 1, 2026.</w:t>
      </w:r>
    </w:p>
    <w:p>
      <w:pPr>
        <w:pStyle w:val="Heading3"/>
        <w:spacing w:after="120" w:before="240"/>
      </w:pPr>
      <w:r>
        <w:t xml:space="preserve">Top 5 Findings</w:t>
      </w:r>
    </w:p>
    <w:p>
      <w:pPr>
        <w:pStyle w:val="ListParagraph"/>
        <w:numPr>
          <w:ilvl w:val="0"/>
          <w:numId w:val="2"/>
        </w:numPr>
        <w:spacing w:after="80"/>
      </w:pPr>
      <w:r>
        <w:t xml:space="preserve">The plan's own target website launch (June 1, 2026) is 17 days after the MVP code freeze (May 15, 2026) — tight, but workable if IA and content are finalized in parallel with MVP development rather than after it, per Part XXXV's decision chain below.</w:t>
      </w:r>
    </w:p>
    <w:p>
      <w:pPr>
        <w:pStyle w:val="ListParagraph"/>
        <w:numPr>
          <w:ilvl w:val="0"/>
          <w:numId w:val="2"/>
        </w:numPr>
        <w:spacing w:after="80"/>
      </w:pPr>
      <w:r>
        <w:t xml:space="preserve">The primary audience is not one persona but at least three with materially different jobs to be done: the Lab Director/QMS Officer (buyer), the bench Staff/technologist (daily user), and the external Accreditor/NGO funder (validator) — the current 4-page content plan (Home / Features / Pricing / About / Contact) collapses all three into one path.</w:t>
      </w:r>
    </w:p>
    <w:p>
      <w:pPr>
        <w:pStyle w:val="ListParagraph"/>
        <w:numPr>
          <w:ilvl w:val="0"/>
          <w:numId w:val="2"/>
        </w:numPr>
        <w:spacing w:after="80"/>
      </w:pPr>
      <w:r>
        <w:t xml:space="preserve">"Africa-first, paper-to-digital, remote-audit-ready" is QualiTracker's real differentiation against Q-Pulse/LabVantage/isoTracker — this needs to be the spine of the homepage narrative, not a footnote in the pricing comparison table.</w:t>
      </w:r>
    </w:p>
    <w:p>
      <w:pPr>
        <w:pStyle w:val="ListParagraph"/>
        <w:numPr>
          <w:ilvl w:val="0"/>
          <w:numId w:val="2"/>
        </w:numPr>
        <w:spacing w:after="80"/>
      </w:pPr>
      <w:r>
        <w:t xml:space="preserve">The RAG chatbot's "no hallucination, source-cited, honest fallback" behavior is the single most demo-able, trust-building feature QualiTracker has — it should be shown, not just described, on the homepage and Features page.</w:t>
      </w:r>
    </w:p>
    <w:p>
      <w:pPr>
        <w:pStyle w:val="ListParagraph"/>
        <w:numPr>
          <w:ilvl w:val="0"/>
          <w:numId w:val="2"/>
        </w:numPr>
        <w:spacing w:after="80"/>
      </w:pPr>
      <w:r>
        <w:t xml:space="preserve">Pricing transparency (USD 500–1,500/year) is a genuine differentiator versus enterprise LIMS vendors who hide pricing behind "contact sales" — the website should lead with this rather than bury it on page three.</w:t>
      </w:r>
    </w:p>
    <w:p>
      <w:pPr>
        <w:pStyle w:val="Heading1"/>
        <w:spacing w:after="200" w:before="480"/>
      </w:pPr>
      <w:r>
        <w:t xml:space="preserve">2. Business Objectives — What the Website Must Accomplish (Part I)</w:t>
      </w:r>
    </w:p>
    <w:p>
      <w:pPr>
        <w:spacing w:after="160"/>
      </w:pPr>
      <w:r>
        <w:rPr>
          <w:b/>
          <w:bCs/>
          <w:color w:val="1F5C4C"/>
          <w:sz w:val="18"/>
          <w:szCs w:val="18"/>
        </w:rPr>
        <w:t xml:space="preserve"> [VERIFIED] </w:t>
      </w:r>
      <w:r>
        <w:t xml:space="preserve">QualiTracker is a digital quality management system (QMS) plus RAG-based document-retrieval chatbot for medical laboratories in Tanzania and East Africa, built on the existing NPHL QMS Chatbot Django codebase. MVP target: May 15, 2026. Website live target: June 1, 2026.</w:t>
      </w:r>
    </w:p>
    <w:p>
      <w:pPr>
        <w:spacing w:after="160"/>
      </w:pPr>
      <w:r>
        <w:rPr>
          <w:b/>
          <w:bCs/>
          <w:color w:val="1F5C4C"/>
          <w:sz w:val="18"/>
          <w:szCs w:val="18"/>
        </w:rPr>
        <w:t xml:space="preserve"> [VERIFIED] </w:t>
      </w:r>
      <w:r>
        <w:t xml:space="preserve">Revenue model (from the plan's pricing structure): a free Pilot Program tier, a Standard Institution tier at USD 500–1,500/year based on lab size, and a contact-based NGO/Partner Network tier.</w:t>
      </w:r>
    </w:p>
    <w:p>
      <w:pPr>
        <w:pStyle w:val="Heading3"/>
        <w:spacing w:after="120" w:before="240"/>
      </w:pPr>
      <w:r>
        <w:t xml:space="preserve">What must this website accomplish for the business?</w:t>
      </w:r>
    </w:p>
    <w:p>
      <w:pPr>
        <w:pStyle w:val="ListParagraph"/>
        <w:numPr>
          <w:ilvl w:val="0"/>
          <w:numId w:val="2"/>
        </w:numPr>
        <w:spacing w:after="80"/>
      </w:pPr>
      <w:r>
        <w:rPr>
          <w:b/>
          <w:bCs/>
          <w:color w:val="8A6D1D"/>
          <w:sz w:val="18"/>
          <w:szCs w:val="18"/>
        </w:rPr>
        <w:t xml:space="preserve"> [INFERRED] </w:t>
      </w:r>
      <w:r>
        <w:t xml:space="preserve">Recruit 3–5 pilot laboratories from Damian's existing NPHL/East African network before the pilot cohort closes.</w:t>
      </w:r>
    </w:p>
    <w:p>
      <w:pPr>
        <w:pStyle w:val="ListParagraph"/>
        <w:numPr>
          <w:ilvl w:val="0"/>
          <w:numId w:val="2"/>
        </w:numPr>
        <w:spacing w:after="80"/>
      </w:pPr>
      <w:r>
        <w:rPr>
          <w:b/>
          <w:bCs/>
          <w:color w:val="8A6D1D"/>
          <w:sz w:val="18"/>
          <w:szCs w:val="18"/>
        </w:rPr>
        <w:t xml:space="preserve"> [INFERRED] </w:t>
      </w:r>
      <w:r>
        <w:t xml:space="preserve">Convert cold LinkedIn and conference traffic (Tier 2–3 traction channels) into demo requests from lab directors and QMS officers who have never heard of QualiTracker before.</w:t>
      </w:r>
    </w:p>
    <w:p>
      <w:pPr>
        <w:pStyle w:val="ListParagraph"/>
        <w:numPr>
          <w:ilvl w:val="0"/>
          <w:numId w:val="2"/>
        </w:numPr>
        <w:spacing w:after="80"/>
      </w:pPr>
      <w:r>
        <w:rPr>
          <w:b/>
          <w:bCs/>
          <w:color w:val="8A6D1D"/>
          <w:sz w:val="18"/>
          <w:szCs w:val="18"/>
        </w:rPr>
        <w:t xml:space="preserve"> [INFERRED] </w:t>
      </w:r>
      <w:r>
        <w:t xml:space="preserve">Give NGO health-systems staff and grant officers (Tier 4 funding targets — NIH R21, Grand Challenges Africa, USAID DIV, PEPFAR) enough legitimacy and clarity in under two minutes to justify further diligence.</w:t>
      </w:r>
    </w:p>
    <w:p>
      <w:pPr>
        <w:pStyle w:val="ListParagraph"/>
        <w:numPr>
          <w:ilvl w:val="0"/>
          <w:numId w:val="2"/>
        </w:numPr>
        <w:spacing w:after="80"/>
      </w:pPr>
      <w:r>
        <w:rPr>
          <w:b/>
          <w:bCs/>
          <w:color w:val="8A6D1D"/>
          <w:sz w:val="18"/>
          <w:szCs w:val="18"/>
        </w:rPr>
        <w:t xml:space="preserve"> [INFERRED] </w:t>
      </w:r>
      <w:r>
        <w:t xml:space="preserve">Serve as the credential Damian references in grant narratives and conference abstracts — it must read as a real company, not a student project, without overstating what exists today.</w:t>
      </w:r>
    </w:p>
    <w:p>
      <w:pPr>
        <w:spacing w:after="160"/>
      </w:pPr>
      <w:r>
        <w:t xml:space="preserve">Every section that follows traces back to one or more of these four objectives, per Part I's discipline.</w:t>
      </w:r>
    </w:p>
    <w:p>
      <w:pPr>
        <w:pStyle w:val="Heading1"/>
        <w:spacing w:after="200" w:before="480"/>
      </w:pPr>
      <w:r>
        <w:t xml:space="preserve">3. Market &amp; Industry Intelligence (Part II)</w:t>
      </w:r>
    </w:p>
    <w:p>
      <w:pPr>
        <w:pStyle w:val="Heading3"/>
        <w:spacing w:after="120" w:before="240"/>
      </w:pPr>
      <w:r>
        <w:t xml:space="preserve">Facts / Evidence</w:t>
      </w:r>
    </w:p>
    <w:p>
      <w:pPr>
        <w:pStyle w:val="ListParagraph"/>
        <w:numPr>
          <w:ilvl w:val="0"/>
          <w:numId w:val="2"/>
        </w:numPr>
        <w:spacing w:after="80"/>
      </w:pPr>
      <w:r>
        <w:rPr>
          <w:b/>
          <w:bCs/>
          <w:color w:val="1F5C4C"/>
          <w:sz w:val="18"/>
          <w:szCs w:val="18"/>
        </w:rPr>
        <w:t xml:space="preserve"> [VERIFIED] </w:t>
      </w:r>
      <w:r>
        <w:t xml:space="preserve">Tanzanian and East African medical laboratories operate under ISO 15189, WHO LQMS, and SLIPTA/SLMTA frameworks.</w:t>
      </w:r>
    </w:p>
    <w:p>
      <w:pPr>
        <w:pStyle w:val="ListParagraph"/>
        <w:numPr>
          <w:ilvl w:val="0"/>
          <w:numId w:val="2"/>
        </w:numPr>
        <w:spacing w:after="80"/>
      </w:pPr>
      <w:r>
        <w:rPr>
          <w:b/>
          <w:bCs/>
          <w:color w:val="1F5C4C"/>
          <w:sz w:val="18"/>
          <w:szCs w:val="18"/>
        </w:rPr>
        <w:t xml:space="preserve"> [VERIFIED] </w:t>
      </w:r>
      <w:r>
        <w:t xml:space="preserve">The plan states the majority of these laboratories still manage quality records on paper despite over a decade of national/international investment in lab quality improvement.</w:t>
      </w:r>
    </w:p>
    <w:p>
      <w:pPr>
        <w:pStyle w:val="ListParagraph"/>
        <w:numPr>
          <w:ilvl w:val="0"/>
          <w:numId w:val="2"/>
        </w:numPr>
        <w:spacing w:after="80"/>
      </w:pPr>
      <w:r>
        <w:rPr>
          <w:b/>
          <w:bCs/>
          <w:color w:val="1F5C4C"/>
          <w:sz w:val="18"/>
          <w:szCs w:val="18"/>
        </w:rPr>
        <w:t xml:space="preserve"> [VERIFIED] </w:t>
      </w:r>
      <w:r>
        <w:t xml:space="preserve">External accreditation currently often requires accreditors to travel internationally to review paper documentation in person.</w:t>
      </w:r>
    </w:p>
    <w:p>
      <w:pPr>
        <w:pStyle w:val="Heading3"/>
        <w:spacing w:after="120" w:before="240"/>
      </w:pPr>
      <w:r>
        <w:t xml:space="preserve">Interpretation</w:t>
      </w:r>
    </w:p>
    <w:p>
      <w:pPr>
        <w:spacing w:after="160"/>
      </w:pPr>
      <w:r>
        <w:rPr>
          <w:b/>
          <w:bCs/>
          <w:color w:val="8A6D1D"/>
          <w:sz w:val="18"/>
          <w:szCs w:val="18"/>
        </w:rPr>
        <w:t xml:space="preserve"> [INFERRED] </w:t>
      </w:r>
      <w:r>
        <w:t xml:space="preserve">This describes a large, underserved, standards-driven market: labs are already required to run a QMS (it's not a discretionary purchase), which means the buying motivation is compliance necessity rather than "nice to have" software adoption — a materially easier sell than most vertical SaaS.</w:t>
      </w:r>
    </w:p>
    <w:p>
      <w:pPr>
        <w:pStyle w:val="Heading3"/>
        <w:spacing w:after="120" w:before="240"/>
      </w:pPr>
      <w:r>
        <w:t xml:space="preserve">Strategic Recommendation</w:t>
      </w:r>
    </w:p>
    <w:p>
      <w:pPr>
        <w:spacing w:after="160"/>
      </w:pPr>
      <w:r>
        <w:rPr>
          <w:b/>
          <w:bCs/>
          <w:color w:val="1F4E79"/>
          <w:sz w:val="18"/>
          <w:szCs w:val="18"/>
        </w:rPr>
        <w:t xml:space="preserve"> [RECOMMENDED] </w:t>
      </w:r>
      <w:r>
        <w:t xml:space="preserve">The website should not sell "software" — it should sell "the same compliance work your lab already has to do, at lower cost and lower risk." This reframes CTAs, pricing framing, and homepage messaging away from feature marketing and toward operational relief.</w:t>
      </w:r>
    </w:p>
    <w:p>
      <w:pPr>
        <w:pStyle w:val="Heading1"/>
        <w:spacing w:after="200" w:before="480"/>
      </w:pPr>
      <w:r>
        <w:t xml:space="preserve">4. Customer Intelligence — Personas (Part III)</w:t>
      </w:r>
    </w:p>
    <w:p>
      <w:pPr>
        <w:pStyle w:val="Heading3"/>
        <w:spacing w:after="120" w:before="240"/>
      </w:pPr>
      <w:r>
        <w:t xml:space="preserve">Amina, the Lab Quality Manager (Primary Buyer)</w:t>
      </w:r>
    </w:p>
    <w:p>
      <w:pPr>
        <w:pStyle w:val="ListParagraph"/>
        <w:numPr>
          <w:ilvl w:val="0"/>
          <w:numId w:val="2"/>
        </w:numPr>
        <w:spacing w:after="80"/>
      </w:pPr>
      <w:r>
        <w:t xml:space="preserve">Who they are: QMS Officer or Lab Director at a mid-sized Tanzanian/East African medical laboratory (public hospital lab, private diagnostic network, or NGO-supported facility).</w:t>
      </w:r>
    </w:p>
    <w:p>
      <w:pPr>
        <w:pStyle w:val="ListParagraph"/>
        <w:numPr>
          <w:ilvl w:val="0"/>
          <w:numId w:val="2"/>
        </w:numPr>
        <w:spacing w:after="80"/>
      </w:pPr>
      <w:r>
        <w:t xml:space="preserve">What they want: Pass her next SLIPTA/ISO 15189 audit without a binder crisis; stop losing sleep over missing temperature-log pages.</w:t>
      </w:r>
    </w:p>
    <w:p>
      <w:pPr>
        <w:pStyle w:val="ListParagraph"/>
        <w:numPr>
          <w:ilvl w:val="0"/>
          <w:numId w:val="2"/>
        </w:numPr>
        <w:spacing w:after="80"/>
      </w:pPr>
      <w:r>
        <w:t xml:space="preserve">What they fear: That a digital tool will be one more system to maintain on top of an already overloaded job, or that it will fail during an actual audit.</w:t>
      </w:r>
    </w:p>
    <w:p>
      <w:pPr>
        <w:pStyle w:val="ListParagraph"/>
        <w:numPr>
          <w:ilvl w:val="0"/>
          <w:numId w:val="2"/>
        </w:numPr>
        <w:spacing w:after="80"/>
      </w:pPr>
      <w:r>
        <w:t xml:space="preserve">What convinces them: Seeing the actual chatbot answer a real SOP question with a citation, in under 60 seconds, plus a price she can put in a budget line without "contact sales."</w:t>
      </w:r>
    </w:p>
    <w:p>
      <w:pPr>
        <w:pStyle w:val="ListParagraph"/>
        <w:numPr>
          <w:ilvl w:val="0"/>
          <w:numId w:val="2"/>
        </w:numPr>
        <w:spacing w:after="80"/>
      </w:pPr>
      <w:r>
        <w:t xml:space="preserve">Website action we want: Request a Demo / join the pilot cohort.</w:t>
      </w:r>
    </w:p>
    <w:p>
      <w:pPr>
        <w:pStyle w:val="Heading3"/>
        <w:spacing w:after="120" w:before="240"/>
      </w:pPr>
      <w:r>
        <w:t xml:space="preserve">Joseph, the Bench Technologist (Daily User)</w:t>
      </w:r>
    </w:p>
    <w:p>
      <w:pPr>
        <w:pStyle w:val="ListParagraph"/>
        <w:numPr>
          <w:ilvl w:val="0"/>
          <w:numId w:val="2"/>
        </w:numPr>
        <w:spacing w:after="80"/>
      </w:pPr>
      <w:r>
        <w:t xml:space="preserve">Who they are: Laboratory staff member doing chemistry, hematology, or microbiology bench work who needs an SOP answer mid-shift.</w:t>
      </w:r>
    </w:p>
    <w:p>
      <w:pPr>
        <w:pStyle w:val="ListParagraph"/>
        <w:numPr>
          <w:ilvl w:val="0"/>
          <w:numId w:val="2"/>
        </w:numPr>
        <w:spacing w:after="80"/>
      </w:pPr>
      <w:r>
        <w:t xml:space="preserve">What they want: A fast, no-friction answer to “what's the procedure for X” without hunting through binders or interrupting a supervisor.</w:t>
      </w:r>
    </w:p>
    <w:p>
      <w:pPr>
        <w:pStyle w:val="ListParagraph"/>
        <w:numPr>
          <w:ilvl w:val="0"/>
          <w:numId w:val="2"/>
        </w:numPr>
        <w:spacing w:after="80"/>
      </w:pPr>
      <w:r>
        <w:t xml:space="preserve">What they fear: That the system is confusing, requires an app install, or gives him a wrong/made-up answer he can't trust with a patient sample.</w:t>
      </w:r>
    </w:p>
    <w:p>
      <w:pPr>
        <w:pStyle w:val="ListParagraph"/>
        <w:numPr>
          <w:ilvl w:val="0"/>
          <w:numId w:val="2"/>
        </w:numPr>
        <w:spacing w:after="80"/>
      </w:pPr>
      <w:r>
        <w:t xml:space="preserve">What convinces them: Web-based, no-install access; an honest “no relevant SOP found” fallback rather than a guessed answer.</w:t>
      </w:r>
    </w:p>
    <w:p>
      <w:pPr>
        <w:pStyle w:val="ListParagraph"/>
        <w:numPr>
          <w:ilvl w:val="0"/>
          <w:numId w:val="2"/>
        </w:numPr>
        <w:spacing w:after="80"/>
      </w:pPr>
      <w:r>
        <w:t xml:space="preserve">Website action we want: Log in and ask a question — not a website conversion action, but the moment that makes the QMS officer's purchase look justified.</w:t>
      </w:r>
    </w:p>
    <w:p>
      <w:pPr>
        <w:pStyle w:val="Heading3"/>
        <w:spacing w:after="120" w:before="240"/>
      </w:pPr>
      <w:r>
        <w:t xml:space="preserve">Dr. Mwangi, the External Accreditor / NGO Health-Systems Officer (Validator)</w:t>
      </w:r>
    </w:p>
    <w:p>
      <w:pPr>
        <w:pStyle w:val="ListParagraph"/>
        <w:numPr>
          <w:ilvl w:val="0"/>
          <w:numId w:val="2"/>
        </w:numPr>
        <w:spacing w:after="80"/>
      </w:pPr>
      <w:r>
        <w:t xml:space="preserve">Who they are: SLIPTA assessor, PEPFAR/AFRO SLIPTA network contact, or grant program officer evaluating QualiTracker as infrastructure worth funding or endorsing.</w:t>
      </w:r>
    </w:p>
    <w:p>
      <w:pPr>
        <w:pStyle w:val="ListParagraph"/>
        <w:numPr>
          <w:ilvl w:val="0"/>
          <w:numId w:val="2"/>
        </w:numPr>
        <w:spacing w:after="80"/>
      </w:pPr>
      <w:r>
        <w:t xml:space="preserve">What they want: Confidence that remote review is genuinely possible — real audit trails, real access controls, real documentation — not a marketing claim.</w:t>
      </w:r>
    </w:p>
    <w:p>
      <w:pPr>
        <w:pStyle w:val="ListParagraph"/>
        <w:numPr>
          <w:ilvl w:val="0"/>
          <w:numId w:val="2"/>
        </w:numPr>
        <w:spacing w:after="80"/>
      </w:pPr>
      <w:r>
        <w:t xml:space="preserve">What they fear: Endorsing or funding something that turns out to be vaporware, or that overstates compliance/certification status it doesn't have.</w:t>
      </w:r>
    </w:p>
    <w:p>
      <w:pPr>
        <w:pStyle w:val="ListParagraph"/>
        <w:numPr>
          <w:ilvl w:val="0"/>
          <w:numId w:val="2"/>
        </w:numPr>
        <w:spacing w:after="80"/>
      </w:pPr>
      <w:r>
        <w:t xml:space="preserve">What convinces them: A clearly labeled, honest distinction between what's built, what's planned, and what's aspirational — exactly the VERIFIED/RECOMMENDED discipline this document uses.</w:t>
      </w:r>
    </w:p>
    <w:p>
      <w:pPr>
        <w:pStyle w:val="ListParagraph"/>
        <w:numPr>
          <w:ilvl w:val="0"/>
          <w:numId w:val="2"/>
        </w:numPr>
        <w:spacing w:after="80"/>
      </w:pPr>
      <w:r>
        <w:t xml:space="preserve">Website action we want: Take a meeting / request a grant-ready one-pager or technical brief.</w:t>
      </w:r>
    </w:p>
    <w:p>
      <w:pPr>
        <w:spacing w:after="160"/>
      </w:pPr>
      <w:r>
        <w:rPr>
          <w:b/>
          <w:bCs/>
          <w:color w:val="1F4E79"/>
          <w:sz w:val="18"/>
          <w:szCs w:val="18"/>
        </w:rPr>
        <w:t xml:space="preserve"> [RECOMMENDED] </w:t>
      </w:r>
      <w:r>
        <w:t xml:space="preserve">These three personas are inferred from the plan's target market, MVP user roles (Admin/Staff), and traction plan (direct outreach to lab directors, AFRO SLIPTA/ECHO networks, grant bodies) — not yet validated with real interviews. Validate with the 3–5 pilot labs before finalizing messaging.</w:t>
      </w:r>
    </w:p>
    <w:p>
      <w:pPr>
        <w:pStyle w:val="Heading1"/>
        <w:spacing w:after="200" w:before="480"/>
      </w:pPr>
      <w:r>
        <w:t xml:space="preserve">5. Jobs to Be Done (Part IV)</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1F5C4C" w:val="clear"/>
            <w:tcMar>
              <w:top w:type="dxa" w:w="80"/>
              <w:left w:type="dxa" w:w="100"/>
              <w:bottom w:type="dxa" w:w="80"/>
              <w:right w:type="dxa" w:w="100"/>
            </w:tcMar>
          </w:tcPr>
          <w:p>
            <w:r>
              <w:rPr>
                <w:b/>
                <w:bCs/>
                <w:color w:val="FFFFFF"/>
                <w:sz w:val="20"/>
                <w:szCs w:val="20"/>
              </w:rPr>
              <w:t xml:space="preserve">Job Type</w:t>
            </w:r>
          </w:p>
        </w:tc>
        <w:tc>
          <w:tcPr>
            <w:tcW w:type="dxa" w:w="7300"/>
            <w:shd w:fill="1F5C4C" w:val="clear"/>
            <w:tcMar>
              <w:top w:type="dxa" w:w="80"/>
              <w:left w:type="dxa" w:w="100"/>
              <w:bottom w:type="dxa" w:w="80"/>
              <w:right w:type="dxa" w:w="100"/>
            </w:tcMar>
          </w:tcPr>
          <w:p>
            <w:r>
              <w:rPr>
                <w:b/>
                <w:bCs/>
                <w:color w:val="FFFFFF"/>
                <w:sz w:val="20"/>
                <w:szCs w:val="20"/>
              </w:rPr>
              <w:t xml:space="preserve">The job the customer is hiring QualiTracker to do</w:t>
            </w:r>
          </w:p>
        </w:tc>
      </w:tr>
      <w:tr>
        <w:tc>
          <w:tcPr>
            <w:tcW w:type="dxa" w:w="2200"/>
            <w:tcMar>
              <w:top w:type="dxa" w:w="80"/>
              <w:left w:type="dxa" w:w="100"/>
              <w:bottom w:type="dxa" w:w="80"/>
              <w:right w:type="dxa" w:w="100"/>
            </w:tcMar>
          </w:tcPr>
          <w:p>
            <w:r>
              <w:rPr>
                <w:b w:val="false"/>
                <w:bCs w:val="false"/>
                <w:sz w:val="20"/>
                <w:szCs w:val="20"/>
              </w:rPr>
              <w:t xml:space="preserve">Functional</w:t>
            </w:r>
          </w:p>
        </w:tc>
        <w:tc>
          <w:tcPr>
            <w:tcW w:type="dxa" w:w="7300"/>
            <w:tcMar>
              <w:top w:type="dxa" w:w="80"/>
              <w:left w:type="dxa" w:w="100"/>
              <w:bottom w:type="dxa" w:w="80"/>
              <w:right w:type="dxa" w:w="100"/>
            </w:tcMar>
          </w:tcPr>
          <w:p>
            <w:r>
              <w:rPr>
                <w:b w:val="false"/>
                <w:bCs w:val="false"/>
                <w:sz w:val="20"/>
                <w:szCs w:val="20"/>
              </w:rPr>
              <w:t xml:space="preserve">Get quality records digitized, searchable, and audit-ready without changing what the lab is already required to do.</w:t>
            </w:r>
          </w:p>
        </w:tc>
      </w:tr>
      <w:tr>
        <w:tc>
          <w:tcPr>
            <w:tcW w:type="dxa" w:w="2200"/>
            <w:tcMar>
              <w:top w:type="dxa" w:w="80"/>
              <w:left w:type="dxa" w:w="100"/>
              <w:bottom w:type="dxa" w:w="80"/>
              <w:right w:type="dxa" w:w="100"/>
            </w:tcMar>
          </w:tcPr>
          <w:p>
            <w:r>
              <w:rPr>
                <w:b w:val="false"/>
                <w:bCs w:val="false"/>
                <w:sz w:val="20"/>
                <w:szCs w:val="20"/>
              </w:rPr>
              <w:t xml:space="preserve">Emotional</w:t>
            </w:r>
          </w:p>
        </w:tc>
        <w:tc>
          <w:tcPr>
            <w:tcW w:type="dxa" w:w="7300"/>
            <w:tcMar>
              <w:top w:type="dxa" w:w="80"/>
              <w:left w:type="dxa" w:w="100"/>
              <w:bottom w:type="dxa" w:w="80"/>
              <w:right w:type="dxa" w:w="100"/>
            </w:tcMar>
          </w:tcPr>
          <w:p>
            <w:r>
              <w:rPr>
                <w:b w:val="false"/>
                <w:bCs w:val="false"/>
                <w:sz w:val="20"/>
                <w:szCs w:val="20"/>
              </w:rPr>
              <w:t xml:space="preserve">Feel prepared and in control before an audit, instead of anxious about a missing binder page.</w:t>
            </w:r>
          </w:p>
        </w:tc>
      </w:tr>
      <w:tr>
        <w:tc>
          <w:tcPr>
            <w:tcW w:type="dxa" w:w="2200"/>
            <w:tcMar>
              <w:top w:type="dxa" w:w="80"/>
              <w:left w:type="dxa" w:w="100"/>
              <w:bottom w:type="dxa" w:w="80"/>
              <w:right w:type="dxa" w:w="100"/>
            </w:tcMar>
          </w:tcPr>
          <w:p>
            <w:r>
              <w:rPr>
                <w:b w:val="false"/>
                <w:bCs w:val="false"/>
                <w:sz w:val="20"/>
                <w:szCs w:val="20"/>
              </w:rPr>
              <w:t xml:space="preserve">Social</w:t>
            </w:r>
          </w:p>
        </w:tc>
        <w:tc>
          <w:tcPr>
            <w:tcW w:type="dxa" w:w="7300"/>
            <w:tcMar>
              <w:top w:type="dxa" w:w="80"/>
              <w:left w:type="dxa" w:w="100"/>
              <w:bottom w:type="dxa" w:w="80"/>
              <w:right w:type="dxa" w:w="100"/>
            </w:tcMar>
          </w:tcPr>
          <w:p>
            <w:r>
              <w:rPr>
                <w:b w:val="false"/>
                <w:bCs w:val="false"/>
                <w:sz w:val="20"/>
                <w:szCs w:val="20"/>
              </w:rPr>
              <w:t xml:space="preserve">Be seen by NPHL leadership, SLIPTA assessors, and peer lab directors as running a modern, credible laboratory — not the lab still using paper.</w:t>
            </w:r>
          </w:p>
        </w:tc>
      </w:tr>
    </w:tbl>
    <w:p>
      <w:pPr>
        <w:spacing w:after="160"/>
      </w:pPr>
      <w:r>
        <w:t xml:space="preserve"/>
      </w:r>
    </w:p>
    <w:p>
      <w:pPr>
        <w:spacing w:after="160"/>
      </w:pPr>
      <w:r>
        <w:rPr>
          <w:b/>
          <w:bCs/>
          <w:color w:val="1F4E79"/>
          <w:sz w:val="18"/>
          <w:szCs w:val="18"/>
        </w:rPr>
        <w:t xml:space="preserve"> [RECOMMENDED] </w:t>
      </w:r>
      <w:r>
        <w:t xml:space="preserve">Translate directly onto the site: functional job → product/features page and pricing; emotional job → hero headline and problem section; social job → trust/credibility section and founder story (Part VII).</w:t>
      </w:r>
    </w:p>
    <w:p>
      <w:pPr>
        <w:pStyle w:val="Heading1"/>
        <w:spacing w:after="200" w:before="480"/>
      </w:pPr>
      <w:r>
        <w:t xml:space="preserve">6. Customer Journey (Part V)</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1300"/>
        <w:gridCol w:w="2400"/>
        <w:gridCol w:w="2100"/>
      </w:tblGrid>
      <w:tr>
        <w:tc>
          <w:tcPr>
            <w:tcW w:type="dxa" w:w="1300"/>
            <w:shd w:fill="1F5C4C" w:val="clear"/>
            <w:tcMar>
              <w:top w:type="dxa" w:w="80"/>
              <w:left w:type="dxa" w:w="100"/>
              <w:bottom w:type="dxa" w:w="80"/>
              <w:right w:type="dxa" w:w="100"/>
            </w:tcMar>
          </w:tcPr>
          <w:p>
            <w:r>
              <w:rPr>
                <w:b/>
                <w:bCs/>
                <w:color w:val="FFFFFF"/>
                <w:sz w:val="20"/>
                <w:szCs w:val="20"/>
              </w:rPr>
              <w:t xml:space="preserve">Stage</w:t>
            </w:r>
          </w:p>
        </w:tc>
        <w:tc>
          <w:tcPr>
            <w:tcW w:type="dxa" w:w="2400"/>
            <w:shd w:fill="1F5C4C" w:val="clear"/>
            <w:tcMar>
              <w:top w:type="dxa" w:w="80"/>
              <w:left w:type="dxa" w:w="100"/>
              <w:bottom w:type="dxa" w:w="80"/>
              <w:right w:type="dxa" w:w="100"/>
            </w:tcMar>
          </w:tcPr>
          <w:p>
            <w:r>
              <w:rPr>
                <w:b/>
                <w:bCs/>
                <w:color w:val="FFFFFF"/>
                <w:sz w:val="20"/>
                <w:szCs w:val="20"/>
              </w:rPr>
              <w:t xml:space="preserve">Customer question</w:t>
            </w:r>
          </w:p>
        </w:tc>
        <w:tc>
          <w:tcPr>
            <w:tcW w:type="dxa" w:w="1300"/>
            <w:shd w:fill="1F5C4C" w:val="clear"/>
            <w:tcMar>
              <w:top w:type="dxa" w:w="80"/>
              <w:left w:type="dxa" w:w="100"/>
              <w:bottom w:type="dxa" w:w="80"/>
              <w:right w:type="dxa" w:w="100"/>
            </w:tcMar>
          </w:tcPr>
          <w:p>
            <w:r>
              <w:rPr>
                <w:b/>
                <w:bCs/>
                <w:color w:val="FFFFFF"/>
                <w:sz w:val="20"/>
                <w:szCs w:val="20"/>
              </w:rPr>
              <w:t xml:space="preserve">Emotion</w:t>
            </w:r>
          </w:p>
        </w:tc>
        <w:tc>
          <w:tcPr>
            <w:tcW w:type="dxa" w:w="2400"/>
            <w:shd w:fill="1F5C4C" w:val="clear"/>
            <w:tcMar>
              <w:top w:type="dxa" w:w="80"/>
              <w:left w:type="dxa" w:w="100"/>
              <w:bottom w:type="dxa" w:w="80"/>
              <w:right w:type="dxa" w:w="100"/>
            </w:tcMar>
          </w:tcPr>
          <w:p>
            <w:r>
              <w:rPr>
                <w:b/>
                <w:bCs/>
                <w:color w:val="FFFFFF"/>
                <w:sz w:val="20"/>
                <w:szCs w:val="20"/>
              </w:rPr>
              <w:t xml:space="preserve">Site interaction</w:t>
            </w:r>
          </w:p>
        </w:tc>
        <w:tc>
          <w:tcPr>
            <w:tcW w:type="dxa" w:w="2100"/>
            <w:shd w:fill="1F5C4C" w:val="clear"/>
            <w:tcMar>
              <w:top w:type="dxa" w:w="80"/>
              <w:left w:type="dxa" w:w="100"/>
              <w:bottom w:type="dxa" w:w="80"/>
              <w:right w:type="dxa" w:w="100"/>
            </w:tcMar>
          </w:tcPr>
          <w:p>
            <w:r>
              <w:rPr>
                <w:b/>
                <w:bCs/>
                <w:color w:val="FFFFFF"/>
                <w:sz w:val="20"/>
                <w:szCs w:val="20"/>
              </w:rPr>
              <w:t xml:space="preserve">Goal</w:t>
            </w:r>
          </w:p>
        </w:tc>
      </w:tr>
      <w:tr>
        <w:tc>
          <w:tcPr>
            <w:tcW w:type="dxa" w:w="1300"/>
            <w:tcMar>
              <w:top w:type="dxa" w:w="80"/>
              <w:left w:type="dxa" w:w="100"/>
              <w:bottom w:type="dxa" w:w="80"/>
              <w:right w:type="dxa" w:w="100"/>
            </w:tcMar>
          </w:tcPr>
          <w:p>
            <w:r>
              <w:rPr>
                <w:b w:val="false"/>
                <w:bCs w:val="false"/>
                <w:sz w:val="20"/>
                <w:szCs w:val="20"/>
              </w:rPr>
              <w:t xml:space="preserve">Awareness</w:t>
            </w:r>
          </w:p>
        </w:tc>
        <w:tc>
          <w:tcPr>
            <w:tcW w:type="dxa" w:w="2400"/>
            <w:tcMar>
              <w:top w:type="dxa" w:w="80"/>
              <w:left w:type="dxa" w:w="100"/>
              <w:bottom w:type="dxa" w:w="80"/>
              <w:right w:type="dxa" w:w="100"/>
            </w:tcMar>
          </w:tcPr>
          <w:p>
            <w:r>
              <w:rPr>
                <w:b w:val="false"/>
                <w:bCs w:val="false"/>
                <w:sz w:val="20"/>
                <w:szCs w:val="20"/>
              </w:rPr>
              <w:t xml:space="preserve">"Is there something better than paper for this?"</w:t>
            </w:r>
          </w:p>
        </w:tc>
        <w:tc>
          <w:tcPr>
            <w:tcW w:type="dxa" w:w="1300"/>
            <w:tcMar>
              <w:top w:type="dxa" w:w="80"/>
              <w:left w:type="dxa" w:w="100"/>
              <w:bottom w:type="dxa" w:w="80"/>
              <w:right w:type="dxa" w:w="100"/>
            </w:tcMar>
          </w:tcPr>
          <w:p>
            <w:r>
              <w:rPr>
                <w:b w:val="false"/>
                <w:bCs w:val="false"/>
                <w:sz w:val="20"/>
                <w:szCs w:val="20"/>
              </w:rPr>
              <w:t xml:space="preserve">Skeptical, tired</w:t>
            </w:r>
          </w:p>
        </w:tc>
        <w:tc>
          <w:tcPr>
            <w:tcW w:type="dxa" w:w="2400"/>
            <w:tcMar>
              <w:top w:type="dxa" w:w="80"/>
              <w:left w:type="dxa" w:w="100"/>
              <w:bottom w:type="dxa" w:w="80"/>
              <w:right w:type="dxa" w:w="100"/>
            </w:tcMar>
          </w:tcPr>
          <w:p>
            <w:r>
              <w:rPr>
                <w:b w:val="false"/>
                <w:bCs w:val="false"/>
                <w:sz w:val="20"/>
                <w:szCs w:val="20"/>
              </w:rPr>
              <w:t xml:space="preserve">LinkedIn post / WhatsApp intro from Damian</w:t>
            </w:r>
          </w:p>
        </w:tc>
        <w:tc>
          <w:tcPr>
            <w:tcW w:type="dxa" w:w="2100"/>
            <w:tcMar>
              <w:top w:type="dxa" w:w="80"/>
              <w:left w:type="dxa" w:w="100"/>
              <w:bottom w:type="dxa" w:w="80"/>
              <w:right w:type="dxa" w:w="100"/>
            </w:tcMar>
          </w:tcPr>
          <w:p>
            <w:r>
              <w:rPr>
                <w:b w:val="false"/>
                <w:bCs w:val="false"/>
                <w:sz w:val="20"/>
                <w:szCs w:val="20"/>
              </w:rPr>
              <w:t xml:space="preserve">Land on homepage understanding what it is in &lt;10s</w:t>
            </w:r>
          </w:p>
        </w:tc>
      </w:tr>
      <w:tr>
        <w:tc>
          <w:tcPr>
            <w:tcW w:type="dxa" w:w="1300"/>
            <w:tcMar>
              <w:top w:type="dxa" w:w="80"/>
              <w:left w:type="dxa" w:w="100"/>
              <w:bottom w:type="dxa" w:w="80"/>
              <w:right w:type="dxa" w:w="100"/>
            </w:tcMar>
          </w:tcPr>
          <w:p>
            <w:r>
              <w:rPr>
                <w:b w:val="false"/>
                <w:bCs w:val="false"/>
                <w:sz w:val="20"/>
                <w:szCs w:val="20"/>
              </w:rPr>
              <w:t xml:space="preserve">Evaluation</w:t>
            </w:r>
          </w:p>
        </w:tc>
        <w:tc>
          <w:tcPr>
            <w:tcW w:type="dxa" w:w="2400"/>
            <w:tcMar>
              <w:top w:type="dxa" w:w="80"/>
              <w:left w:type="dxa" w:w="100"/>
              <w:bottom w:type="dxa" w:w="80"/>
              <w:right w:type="dxa" w:w="100"/>
            </w:tcMar>
          </w:tcPr>
          <w:p>
            <w:r>
              <w:rPr>
                <w:b w:val="false"/>
                <w:bCs w:val="false"/>
                <w:sz w:val="20"/>
                <w:szCs w:val="20"/>
              </w:rPr>
              <w:t xml:space="preserve">"Does this actually work for a lab like mine?"</w:t>
            </w:r>
          </w:p>
        </w:tc>
        <w:tc>
          <w:tcPr>
            <w:tcW w:type="dxa" w:w="1300"/>
            <w:tcMar>
              <w:top w:type="dxa" w:w="80"/>
              <w:left w:type="dxa" w:w="100"/>
              <w:bottom w:type="dxa" w:w="80"/>
              <w:right w:type="dxa" w:w="100"/>
            </w:tcMar>
          </w:tcPr>
          <w:p>
            <w:r>
              <w:rPr>
                <w:b w:val="false"/>
                <w:bCs w:val="false"/>
                <w:sz w:val="20"/>
                <w:szCs w:val="20"/>
              </w:rPr>
              <w:t xml:space="preserve">Cautiously curious</w:t>
            </w:r>
          </w:p>
        </w:tc>
        <w:tc>
          <w:tcPr>
            <w:tcW w:type="dxa" w:w="2400"/>
            <w:tcMar>
              <w:top w:type="dxa" w:w="80"/>
              <w:left w:type="dxa" w:w="100"/>
              <w:bottom w:type="dxa" w:w="80"/>
              <w:right w:type="dxa" w:w="100"/>
            </w:tcMar>
          </w:tcPr>
          <w:p>
            <w:r>
              <w:rPr>
                <w:b w:val="false"/>
                <w:bCs w:val="false"/>
                <w:sz w:val="20"/>
                <w:szCs w:val="20"/>
              </w:rPr>
              <w:t xml:space="preserve">Features page, live chatbot demo, comparison table</w:t>
            </w:r>
          </w:p>
        </w:tc>
        <w:tc>
          <w:tcPr>
            <w:tcW w:type="dxa" w:w="2100"/>
            <w:tcMar>
              <w:top w:type="dxa" w:w="80"/>
              <w:left w:type="dxa" w:w="100"/>
              <w:bottom w:type="dxa" w:w="80"/>
              <w:right w:type="dxa" w:w="100"/>
            </w:tcMar>
          </w:tcPr>
          <w:p>
            <w:r>
              <w:rPr>
                <w:b w:val="false"/>
                <w:bCs w:val="false"/>
                <w:sz w:val="20"/>
                <w:szCs w:val="20"/>
              </w:rPr>
              <w:t xml:space="preserve">See a real query answered with a citation</w:t>
            </w:r>
          </w:p>
        </w:tc>
      </w:tr>
      <w:tr>
        <w:tc>
          <w:tcPr>
            <w:tcW w:type="dxa" w:w="1300"/>
            <w:tcMar>
              <w:top w:type="dxa" w:w="80"/>
              <w:left w:type="dxa" w:w="100"/>
              <w:bottom w:type="dxa" w:w="80"/>
              <w:right w:type="dxa" w:w="100"/>
            </w:tcMar>
          </w:tcPr>
          <w:p>
            <w:r>
              <w:rPr>
                <w:b w:val="false"/>
                <w:bCs w:val="false"/>
                <w:sz w:val="20"/>
                <w:szCs w:val="20"/>
              </w:rPr>
              <w:t xml:space="preserve">Trust</w:t>
            </w:r>
          </w:p>
        </w:tc>
        <w:tc>
          <w:tcPr>
            <w:tcW w:type="dxa" w:w="2400"/>
            <w:tcMar>
              <w:top w:type="dxa" w:w="80"/>
              <w:left w:type="dxa" w:w="100"/>
              <w:bottom w:type="dxa" w:w="80"/>
              <w:right w:type="dxa" w:w="100"/>
            </w:tcMar>
          </w:tcPr>
          <w:p>
            <w:r>
              <w:rPr>
                <w:b w:val="false"/>
                <w:bCs w:val="false"/>
                <w:sz w:val="20"/>
                <w:szCs w:val="20"/>
              </w:rPr>
              <w:t xml:space="preserve">"Can I trust this with our accreditation?"</w:t>
            </w:r>
          </w:p>
        </w:tc>
        <w:tc>
          <w:tcPr>
            <w:tcW w:type="dxa" w:w="1300"/>
            <w:tcMar>
              <w:top w:type="dxa" w:w="80"/>
              <w:left w:type="dxa" w:w="100"/>
              <w:bottom w:type="dxa" w:w="80"/>
              <w:right w:type="dxa" w:w="100"/>
            </w:tcMar>
          </w:tcPr>
          <w:p>
            <w:r>
              <w:rPr>
                <w:b w:val="false"/>
                <w:bCs w:val="false"/>
                <w:sz w:val="20"/>
                <w:szCs w:val="20"/>
              </w:rPr>
              <w:t xml:space="preserve">Wary of vaporware</w:t>
            </w:r>
          </w:p>
        </w:tc>
        <w:tc>
          <w:tcPr>
            <w:tcW w:type="dxa" w:w="2400"/>
            <w:tcMar>
              <w:top w:type="dxa" w:w="80"/>
              <w:left w:type="dxa" w:w="100"/>
              <w:bottom w:type="dxa" w:w="80"/>
              <w:right w:type="dxa" w:w="100"/>
            </w:tcMar>
          </w:tcPr>
          <w:p>
            <w:r>
              <w:rPr>
                <w:b w:val="false"/>
                <w:bCs w:val="false"/>
                <w:sz w:val="20"/>
                <w:szCs w:val="20"/>
              </w:rPr>
              <w:t xml:space="preserve">Founder story, NPHL reference, honest capability labeling</w:t>
            </w:r>
          </w:p>
        </w:tc>
        <w:tc>
          <w:tcPr>
            <w:tcW w:type="dxa" w:w="2100"/>
            <w:tcMar>
              <w:top w:type="dxa" w:w="80"/>
              <w:left w:type="dxa" w:w="100"/>
              <w:bottom w:type="dxa" w:w="80"/>
              <w:right w:type="dxa" w:w="100"/>
            </w:tcMar>
          </w:tcPr>
          <w:p>
            <w:r>
              <w:rPr>
                <w:b w:val="false"/>
                <w:bCs w:val="false"/>
                <w:sz w:val="20"/>
                <w:szCs w:val="20"/>
              </w:rPr>
              <w:t xml:space="preserve">No overstated claims found</w:t>
            </w:r>
          </w:p>
        </w:tc>
      </w:tr>
      <w:tr>
        <w:tc>
          <w:tcPr>
            <w:tcW w:type="dxa" w:w="1300"/>
            <w:tcMar>
              <w:top w:type="dxa" w:w="80"/>
              <w:left w:type="dxa" w:w="100"/>
              <w:bottom w:type="dxa" w:w="80"/>
              <w:right w:type="dxa" w:w="100"/>
            </w:tcMar>
          </w:tcPr>
          <w:p>
            <w:r>
              <w:rPr>
                <w:b w:val="false"/>
                <w:bCs w:val="false"/>
                <w:sz w:val="20"/>
                <w:szCs w:val="20"/>
              </w:rPr>
              <w:t xml:space="preserve">Decision</w:t>
            </w:r>
          </w:p>
        </w:tc>
        <w:tc>
          <w:tcPr>
            <w:tcW w:type="dxa" w:w="2400"/>
            <w:tcMar>
              <w:top w:type="dxa" w:w="80"/>
              <w:left w:type="dxa" w:w="100"/>
              <w:bottom w:type="dxa" w:w="80"/>
              <w:right w:type="dxa" w:w="100"/>
            </w:tcMar>
          </w:tcPr>
          <w:p>
            <w:r>
              <w:rPr>
                <w:b w:val="false"/>
                <w:bCs w:val="false"/>
                <w:sz w:val="20"/>
                <w:szCs w:val="20"/>
              </w:rPr>
              <w:t xml:space="preserve">"What does it cost, and how do I start?"</w:t>
            </w:r>
          </w:p>
        </w:tc>
        <w:tc>
          <w:tcPr>
            <w:tcW w:type="dxa" w:w="1300"/>
            <w:tcMar>
              <w:top w:type="dxa" w:w="80"/>
              <w:left w:type="dxa" w:w="100"/>
              <w:bottom w:type="dxa" w:w="80"/>
              <w:right w:type="dxa" w:w="100"/>
            </w:tcMar>
          </w:tcPr>
          <w:p>
            <w:r>
              <w:rPr>
                <w:b w:val="false"/>
                <w:bCs w:val="false"/>
                <w:sz w:val="20"/>
                <w:szCs w:val="20"/>
              </w:rPr>
              <w:t xml:space="preserve">Ready, needs a low-risk path</w:t>
            </w:r>
          </w:p>
        </w:tc>
        <w:tc>
          <w:tcPr>
            <w:tcW w:type="dxa" w:w="2400"/>
            <w:tcMar>
              <w:top w:type="dxa" w:w="80"/>
              <w:left w:type="dxa" w:w="100"/>
              <w:bottom w:type="dxa" w:w="80"/>
              <w:right w:type="dxa" w:w="100"/>
            </w:tcMar>
          </w:tcPr>
          <w:p>
            <w:r>
              <w:rPr>
                <w:b w:val="false"/>
                <w:bCs w:val="false"/>
                <w:sz w:val="20"/>
                <w:szCs w:val="20"/>
              </w:rPr>
              <w:t xml:space="preserve">Pricing page, free Pilot tier, demo request form</w:t>
            </w:r>
          </w:p>
        </w:tc>
        <w:tc>
          <w:tcPr>
            <w:tcW w:type="dxa" w:w="2100"/>
            <w:tcMar>
              <w:top w:type="dxa" w:w="80"/>
              <w:left w:type="dxa" w:w="100"/>
              <w:bottom w:type="dxa" w:w="80"/>
              <w:right w:type="dxa" w:w="100"/>
            </w:tcMar>
          </w:tcPr>
          <w:p>
            <w:r>
              <w:rPr>
                <w:b w:val="false"/>
                <w:bCs w:val="false"/>
                <w:sz w:val="20"/>
                <w:szCs w:val="20"/>
              </w:rPr>
              <w:t xml:space="preserve">Submit demo request / pilot application</w:t>
            </w:r>
          </w:p>
        </w:tc>
      </w:tr>
      <w:tr>
        <w:tc>
          <w:tcPr>
            <w:tcW w:type="dxa" w:w="1300"/>
            <w:tcMar>
              <w:top w:type="dxa" w:w="80"/>
              <w:left w:type="dxa" w:w="100"/>
              <w:bottom w:type="dxa" w:w="80"/>
              <w:right w:type="dxa" w:w="100"/>
            </w:tcMar>
          </w:tcPr>
          <w:p>
            <w:r>
              <w:rPr>
                <w:b w:val="false"/>
                <w:bCs w:val="false"/>
                <w:sz w:val="20"/>
                <w:szCs w:val="20"/>
              </w:rPr>
              <w:t xml:space="preserve">Onboarding</w:t>
            </w:r>
          </w:p>
        </w:tc>
        <w:tc>
          <w:tcPr>
            <w:tcW w:type="dxa" w:w="2400"/>
            <w:tcMar>
              <w:top w:type="dxa" w:w="80"/>
              <w:left w:type="dxa" w:w="100"/>
              <w:bottom w:type="dxa" w:w="80"/>
              <w:right w:type="dxa" w:w="100"/>
            </w:tcMar>
          </w:tcPr>
          <w:p>
            <w:r>
              <w:rPr>
                <w:b w:val="false"/>
                <w:bCs w:val="false"/>
                <w:sz w:val="20"/>
                <w:szCs w:val="20"/>
              </w:rPr>
              <w:t xml:space="preserve">"How do we actually get our documents in?"</w:t>
            </w:r>
          </w:p>
        </w:tc>
        <w:tc>
          <w:tcPr>
            <w:tcW w:type="dxa" w:w="1300"/>
            <w:tcMar>
              <w:top w:type="dxa" w:w="80"/>
              <w:left w:type="dxa" w:w="100"/>
              <w:bottom w:type="dxa" w:w="80"/>
              <w:right w:type="dxa" w:w="100"/>
            </w:tcMar>
          </w:tcPr>
          <w:p>
            <w:r>
              <w:rPr>
                <w:b w:val="false"/>
                <w:bCs w:val="false"/>
                <w:sz w:val="20"/>
                <w:szCs w:val="20"/>
              </w:rPr>
              <w:t xml:space="preserve">Anxious about setup effort</w:t>
            </w:r>
          </w:p>
        </w:tc>
        <w:tc>
          <w:tcPr>
            <w:tcW w:type="dxa" w:w="2400"/>
            <w:tcMar>
              <w:top w:type="dxa" w:w="80"/>
              <w:left w:type="dxa" w:w="100"/>
              <w:bottom w:type="dxa" w:w="80"/>
              <w:right w:type="dxa" w:w="100"/>
            </w:tcMar>
          </w:tcPr>
          <w:p>
            <w:r>
              <w:rPr>
                <w:b w:val="false"/>
                <w:bCs w:val="false"/>
                <w:sz w:val="20"/>
                <w:szCs w:val="20"/>
              </w:rPr>
              <w:t xml:space="preserve">Post-signup email, Calendly demo call</w:t>
            </w:r>
          </w:p>
        </w:tc>
        <w:tc>
          <w:tcPr>
            <w:tcW w:type="dxa" w:w="2100"/>
            <w:tcMar>
              <w:top w:type="dxa" w:w="80"/>
              <w:left w:type="dxa" w:w="100"/>
              <w:bottom w:type="dxa" w:w="80"/>
              <w:right w:type="dxa" w:w="100"/>
            </w:tcMar>
          </w:tcPr>
          <w:p>
            <w:r>
              <w:rPr>
                <w:b w:val="false"/>
                <w:bCs w:val="false"/>
                <w:sz w:val="20"/>
                <w:szCs w:val="20"/>
              </w:rPr>
              <w:t xml:space="preserve">Book a live onboarding call</w:t>
            </w:r>
          </w:p>
        </w:tc>
      </w:tr>
    </w:tbl>
    <w:p>
      <w:pPr>
        <w:spacing w:after="160"/>
      </w:pPr>
      <w:r>
        <w:t xml:space="preserve"/>
      </w:r>
    </w:p>
    <w:p>
      <w:pPr>
        <w:spacing w:after="160"/>
      </w:pPr>
      <w:r>
        <w:rPr>
          <w:b/>
          <w:bCs/>
          <w:color w:val="8A6D1D"/>
          <w:sz w:val="18"/>
          <w:szCs w:val="18"/>
        </w:rPr>
        <w:t xml:space="preserve"> [INFERRED] </w:t>
      </w:r>
      <w:r>
        <w:t xml:space="preserve">Mapped from the plan's own traction tiers (direct outreach → community/conference → content → grants) and pricing structure (free pilot as the low-risk entry point).</w:t>
      </w:r>
    </w:p>
    <w:p>
      <w:pPr>
        <w:pStyle w:val="Heading1"/>
        <w:spacing w:after="200" w:before="480"/>
      </w:pPr>
      <w:r>
        <w:t xml:space="preserve">7. Competitive Intelligence (Part VI)</w:t>
      </w:r>
    </w:p>
    <w:p>
      <w:pPr>
        <w:spacing w:after="160"/>
      </w:pPr>
      <w:r>
        <w:rPr>
          <w:b/>
          <w:bCs/>
          <w:color w:val="1F5C4C"/>
          <w:sz w:val="18"/>
          <w:szCs w:val="18"/>
        </w:rPr>
        <w:t xml:space="preserve"> [VERIFIED] </w:t>
      </w:r>
      <w:r>
        <w:t xml:space="preserve">The plan names three direct competitors: Q-Pulse, LabVantage, and isoTracker — described as global players designed for high-income markets, priced in the thousands of USD annually, and not adapted to East African operational realities.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400"/>
        <w:gridCol w:w="1300"/>
      </w:tblGrid>
      <w:tr>
        <w:tc>
          <w:tcPr>
            <w:tcW w:type="dxa" w:w="2200"/>
            <w:shd w:fill="1F5C4C" w:val="clear"/>
            <w:tcMar>
              <w:top w:type="dxa" w:w="80"/>
              <w:left w:type="dxa" w:w="100"/>
              <w:bottom w:type="dxa" w:w="80"/>
              <w:right w:type="dxa" w:w="100"/>
            </w:tcMar>
          </w:tcPr>
          <w:p>
            <w:r>
              <w:rPr>
                <w:b/>
                <w:bCs/>
                <w:color w:val="FFFFFF"/>
                <w:sz w:val="20"/>
                <w:szCs w:val="20"/>
              </w:rPr>
              <w:t xml:space="preserve">Competitor</w:t>
            </w:r>
          </w:p>
        </w:tc>
        <w:tc>
          <w:tcPr>
            <w:tcW w:type="dxa" w:w="2600"/>
            <w:shd w:fill="1F5C4C" w:val="clear"/>
            <w:tcMar>
              <w:top w:type="dxa" w:w="80"/>
              <w:left w:type="dxa" w:w="100"/>
              <w:bottom w:type="dxa" w:w="80"/>
              <w:right w:type="dxa" w:w="100"/>
            </w:tcMar>
          </w:tcPr>
          <w:p>
            <w:r>
              <w:rPr>
                <w:b/>
                <w:bCs/>
                <w:color w:val="FFFFFF"/>
                <w:sz w:val="20"/>
                <w:szCs w:val="20"/>
              </w:rPr>
              <w:t xml:space="preserve">Strengths</w:t>
            </w:r>
          </w:p>
        </w:tc>
        <w:tc>
          <w:tcPr>
            <w:tcW w:type="dxa" w:w="3400"/>
            <w:shd w:fill="1F5C4C" w:val="clear"/>
            <w:tcMar>
              <w:top w:type="dxa" w:w="80"/>
              <w:left w:type="dxa" w:w="100"/>
              <w:bottom w:type="dxa" w:w="80"/>
              <w:right w:type="dxa" w:w="100"/>
            </w:tcMar>
          </w:tcPr>
          <w:p>
            <w:r>
              <w:rPr>
                <w:b/>
                <w:bCs/>
                <w:color w:val="FFFFFF"/>
                <w:sz w:val="20"/>
                <w:szCs w:val="20"/>
              </w:rPr>
              <w:t xml:space="preserve">Weaknesses</w:t>
            </w:r>
          </w:p>
        </w:tc>
        <w:tc>
          <w:tcPr>
            <w:tcW w:type="dxa" w:w="1300"/>
            <w:shd w:fill="1F5C4C" w:val="clear"/>
            <w:tcMar>
              <w:top w:type="dxa" w:w="80"/>
              <w:left w:type="dxa" w:w="100"/>
              <w:bottom w:type="dxa" w:w="80"/>
              <w:right w:type="dxa" w:w="100"/>
            </w:tcMar>
          </w:tcPr>
          <w:p>
            <w:r>
              <w:rPr>
                <w:b/>
                <w:bCs/>
                <w:color w:val="FFFFFF"/>
                <w:sz w:val="20"/>
                <w:szCs w:val="20"/>
              </w:rPr>
              <w:t xml:space="preserve">Pricing</w:t>
            </w:r>
          </w:p>
        </w:tc>
      </w:tr>
      <w:tr>
        <w:tc>
          <w:tcPr>
            <w:tcW w:type="dxa" w:w="2200"/>
            <w:tcMar>
              <w:top w:type="dxa" w:w="80"/>
              <w:left w:type="dxa" w:w="100"/>
              <w:bottom w:type="dxa" w:w="80"/>
              <w:right w:type="dxa" w:w="100"/>
            </w:tcMar>
          </w:tcPr>
          <w:p>
            <w:r>
              <w:rPr>
                <w:b w:val="false"/>
                <w:bCs w:val="false"/>
                <w:sz w:val="20"/>
                <w:szCs w:val="20"/>
              </w:rPr>
              <w:t xml:space="preserve">Q-Pulse / LabVantage / isoTracker</w:t>
            </w:r>
          </w:p>
        </w:tc>
        <w:tc>
          <w:tcPr>
            <w:tcW w:type="dxa" w:w="2600"/>
            <w:tcMar>
              <w:top w:type="dxa" w:w="80"/>
              <w:left w:type="dxa" w:w="100"/>
              <w:bottom w:type="dxa" w:w="80"/>
              <w:right w:type="dxa" w:w="100"/>
            </w:tcMar>
          </w:tcPr>
          <w:p>
            <w:r>
              <w:rPr>
                <w:b w:val="false"/>
                <w:bCs w:val="false"/>
                <w:sz w:val="20"/>
                <w:szCs w:val="20"/>
              </w:rPr>
              <w:t xml:space="preserve">Enterprise-grade, feature-dense, decades of compliance credibility</w:t>
            </w:r>
          </w:p>
        </w:tc>
        <w:tc>
          <w:tcPr>
            <w:tcW w:type="dxa" w:w="3400"/>
            <w:tcMar>
              <w:top w:type="dxa" w:w="80"/>
              <w:left w:type="dxa" w:w="100"/>
              <w:bottom w:type="dxa" w:w="80"/>
              <w:right w:type="dxa" w:w="100"/>
            </w:tcMar>
          </w:tcPr>
          <w:p>
            <w:r>
              <w:rPr>
                <w:b w:val="false"/>
                <w:bCs w:val="false"/>
                <w:sz w:val="20"/>
                <w:szCs w:val="20"/>
              </w:rPr>
              <w:t xml:space="preserve">Priced for high-income-market budgets; opaque “contact sales” pricing; not built for low-bandwidth, resource-limited settings; no local language support</w:t>
            </w:r>
          </w:p>
        </w:tc>
        <w:tc>
          <w:tcPr>
            <w:tcW w:type="dxa" w:w="1300"/>
            <w:tcMar>
              <w:top w:type="dxa" w:w="80"/>
              <w:left w:type="dxa" w:w="100"/>
              <w:bottom w:type="dxa" w:w="80"/>
              <w:right w:type="dxa" w:w="100"/>
            </w:tcMar>
          </w:tcPr>
          <w:p>
            <w:r>
              <w:rPr>
                <w:b w:val="false"/>
                <w:bCs w:val="false"/>
                <w:sz w:val="20"/>
                <w:szCs w:val="20"/>
              </w:rPr>
              <w:t xml:space="preserve">Priced in the thousands of USD/yr; enterprise sales cycle</w:t>
            </w:r>
          </w:p>
        </w:tc>
      </w:tr>
      <w:tr>
        <w:tc>
          <w:tcPr>
            <w:tcW w:type="dxa" w:w="2200"/>
            <w:tcMar>
              <w:top w:type="dxa" w:w="80"/>
              <w:left w:type="dxa" w:w="100"/>
              <w:bottom w:type="dxa" w:w="80"/>
              <w:right w:type="dxa" w:w="100"/>
            </w:tcMar>
          </w:tcPr>
          <w:p>
            <w:r>
              <w:rPr>
                <w:b w:val="false"/>
                <w:bCs w:val="false"/>
                <w:sz w:val="20"/>
                <w:szCs w:val="20"/>
              </w:rPr>
              <w:t xml:space="preserve">Paper / spreadsheet QMS (the real incumbent)</w:t>
            </w:r>
          </w:p>
        </w:tc>
        <w:tc>
          <w:tcPr>
            <w:tcW w:type="dxa" w:w="2600"/>
            <w:tcMar>
              <w:top w:type="dxa" w:w="80"/>
              <w:left w:type="dxa" w:w="100"/>
              <w:bottom w:type="dxa" w:w="80"/>
              <w:right w:type="dxa" w:w="100"/>
            </w:tcMar>
          </w:tcPr>
          <w:p>
            <w:r>
              <w:rPr>
                <w:b w:val="false"/>
                <w:bCs w:val="false"/>
                <w:sz w:val="20"/>
                <w:szCs w:val="20"/>
              </w:rPr>
              <w:t xml:space="preserve">Zero software cost, already-trained staff, no digital dependency</w:t>
            </w:r>
          </w:p>
        </w:tc>
        <w:tc>
          <w:tcPr>
            <w:tcW w:type="dxa" w:w="3400"/>
            <w:tcMar>
              <w:top w:type="dxa" w:w="80"/>
              <w:left w:type="dxa" w:w="100"/>
              <w:bottom w:type="dxa" w:w="80"/>
              <w:right w:type="dxa" w:w="100"/>
            </w:tcMar>
          </w:tcPr>
          <w:p>
            <w:r>
              <w:rPr>
                <w:b w:val="false"/>
                <w:bCs w:val="false"/>
                <w:sz w:val="20"/>
                <w:szCs w:val="20"/>
              </w:rPr>
              <w:t xml:space="preserve">Recurring paper/printing/storage cost; single missing page invalidates records; no trend detection; CAPA tracking practically impossible</w:t>
            </w:r>
          </w:p>
        </w:tc>
        <w:tc>
          <w:tcPr>
            <w:tcW w:type="dxa" w:w="1300"/>
            <w:tcMar>
              <w:top w:type="dxa" w:w="80"/>
              <w:left w:type="dxa" w:w="100"/>
              <w:bottom w:type="dxa" w:w="80"/>
              <w:right w:type="dxa" w:w="100"/>
            </w:tcMar>
          </w:tcPr>
          <w:p>
            <w:r>
              <w:rPr>
                <w:b w:val="false"/>
                <w:bCs w:val="false"/>
                <w:sz w:val="20"/>
                <w:szCs w:val="20"/>
              </w:rPr>
              <w:t xml:space="preserve">N/A — but real recurring cost per the plan's own Problem A</w:t>
            </w:r>
          </w:p>
        </w:tc>
      </w:tr>
    </w:tbl>
    <w:p>
      <w:pPr>
        <w:spacing w:after="160"/>
      </w:pPr>
      <w:r>
        <w:t xml:space="preserve"/>
      </w:r>
    </w:p>
    <w:p>
      <w:pPr>
        <w:pStyle w:val="Heading3"/>
        <w:spacing w:after="120" w:before="240"/>
      </w:pPr>
      <w:r>
        <w:t xml:space="preserve">Where QualiTracker can differentiate</w:t>
      </w:r>
    </w:p>
    <w:p>
      <w:pPr>
        <w:pStyle w:val="ListParagraph"/>
        <w:numPr>
          <w:ilvl w:val="0"/>
          <w:numId w:val="2"/>
        </w:numPr>
        <w:spacing w:after="80"/>
      </w:pPr>
      <w:r>
        <w:rPr>
          <w:b/>
          <w:bCs/>
          <w:color w:val="8A6D1D"/>
          <w:sz w:val="18"/>
          <w:szCs w:val="18"/>
        </w:rPr>
        <w:t xml:space="preserve"> [INFERRED] </w:t>
      </w:r>
      <w:r>
        <w:t xml:space="preserve">Transparent, budget-line pricing (USD 500–1,500/yr) vs. enterprise “contact sales” opacity.</w:t>
      </w:r>
    </w:p>
    <w:p>
      <w:pPr>
        <w:pStyle w:val="ListParagraph"/>
        <w:numPr>
          <w:ilvl w:val="0"/>
          <w:numId w:val="2"/>
        </w:numPr>
        <w:spacing w:after="80"/>
      </w:pPr>
      <w:r>
        <w:rPr>
          <w:b/>
          <w:bCs/>
          <w:color w:val="8A6D1D"/>
          <w:sz w:val="18"/>
          <w:szCs w:val="18"/>
        </w:rPr>
        <w:t xml:space="preserve"> [INFERRED] </w:t>
      </w:r>
      <w:r>
        <w:t xml:space="preserve">Purpose-built for East African lab operational realities: web-based (no app install), designed around SLIPTA/WHO LQMS/ISO 15189 workflows specifically, planned Swahili chatbot support, planned multi-laboratory support for lab networks.</w:t>
      </w:r>
    </w:p>
    <w:p>
      <w:pPr>
        <w:pStyle w:val="ListParagraph"/>
        <w:numPr>
          <w:ilvl w:val="0"/>
          <w:numId w:val="2"/>
        </w:numPr>
        <w:spacing w:after="80"/>
      </w:pPr>
      <w:r>
        <w:rPr>
          <w:b/>
          <w:bCs/>
          <w:color w:val="8A6D1D"/>
          <w:sz w:val="18"/>
          <w:szCs w:val="18"/>
        </w:rPr>
        <w:t xml:space="preserve"> [INFERRED] </w:t>
      </w:r>
      <w:r>
        <w:t xml:space="preserve">The RAG chatbot itself — none of the three named competitors are described in the plan as offering natural-language, source-cited document retrieval; this is QualiTracker's genuine wedge feature.</w:t>
      </w:r>
    </w:p>
    <w:p>
      <w:pPr>
        <w:pStyle w:val="ListParagraph"/>
        <w:numPr>
          <w:ilvl w:val="0"/>
          <w:numId w:val="2"/>
        </w:numPr>
        <w:spacing w:after="80"/>
      </w:pPr>
      <w:r>
        <w:rPr>
          <w:b/>
          <w:bCs/>
          <w:color w:val="8A6D1D"/>
          <w:sz w:val="18"/>
          <w:szCs w:val="18"/>
        </w:rPr>
        <w:t xml:space="preserve"> [INFERRED] </w:t>
      </w:r>
      <w:r>
        <w:t xml:space="preserve">Remote audit access as a first-class capability, directly addressing the plan's own Problem C (accreditation travel cost), rather than a generic “cloud access” bullet point.</w:t>
      </w:r>
    </w:p>
    <w:p>
      <w:pPr>
        <w:spacing w:after="160"/>
      </w:pPr>
      <w:r>
        <w:rPr>
          <w:b/>
          <w:bCs/>
          <w:color w:val="1F4E79"/>
          <w:sz w:val="18"/>
          <w:szCs w:val="18"/>
        </w:rPr>
        <w:t xml:space="preserve"> [RECOMMENDED] </w:t>
      </w:r>
      <w:r>
        <w:t xml:space="preserve">Do not force an “Africa-first” positioning as decoration — the evidence here genuinely supports it as the core differentiator. Build the comparison table on the Features page around these four rows, not a generic feature checklist.</w:t>
      </w:r>
    </w:p>
    <w:p>
      <w:pPr>
        <w:pStyle w:val="Heading1"/>
        <w:spacing w:after="200" w:before="480"/>
      </w:pPr>
      <w:r>
        <w:t xml:space="preserve">8. Brand Strategy (Part VII)</w:t>
      </w:r>
    </w:p>
    <w:p>
      <w:pPr>
        <w:spacing w:after="160"/>
      </w:pPr>
      <w:r>
        <w:rPr>
          <w:b/>
          <w:bCs/>
          <w:color w:val="1F5C4C"/>
          <w:sz w:val="18"/>
          <w:szCs w:val="18"/>
        </w:rPr>
        <w:t xml:space="preserve"> [VERIFIED] </w:t>
      </w:r>
      <w:r>
        <w:t xml:space="preserve">The plan's own tagline is “Quality that works for every lab” — this is a strong, usable brand promise: inclusive (“every lab,” regardless of budget) and functional (“works,” not “revolutionizes”).</w:t>
      </w:r>
    </w:p>
    <w:p>
      <w:pPr>
        <w:pStyle w:val="Heading3"/>
        <w:spacing w:after="120" w:before="240"/>
      </w:pPr>
      <w:r>
        <w:t xml:space="preserve">Brand personality</w:t>
      </w:r>
    </w:p>
    <w:p>
      <w:pPr>
        <w:spacing w:after="160"/>
      </w:pPr>
      <w:r>
        <w:t xml:space="preserve">Precise, plainspoken, and quietly confident — the voice of someone who has personally lived the paper-binder problem (Damian's NPHL background) rather than a SaaS marketer describing it secondhand. Competent, not corporate. Warm, not clinical.</w:t>
      </w:r>
    </w:p>
    <w:p>
      <w:pPr>
        <w:pStyle w:val="Heading3"/>
        <w:spacing w:after="120" w:before="240"/>
      </w:pPr>
      <w:r>
        <w:t xml:space="preserve">Why choose QualiTracker over the alternatives</w:t>
      </w:r>
    </w:p>
    <w:p>
      <w:pPr>
        <w:pBdr>
          <w:left w:val="single" w:color="1F5C4C" w:sz="12" w:space="8"/>
        </w:pBdr>
        <w:spacing w:after="200" w:before="100"/>
        <w:ind w:left="360"/>
      </w:pPr>
      <w:r>
        <w:rPr>
          <w:i/>
          <w:iCs/>
        </w:rPr>
        <w:t xml:space="preserve">Because it was built by someone who has personally organized the binder for an accreditation visit, priced for the budget a Tanzanian lab actually has, and designed around the specific standards (ISO 15189, SLIPTA, WHO LQMS) East African labs are already required to meet — not a stripped-down version of software built for a hospital system in the US or UK.</w:t>
      </w:r>
    </w:p>
    <w:p>
      <w:pPr>
        <w:spacing w:after="160"/>
      </w:pPr>
      <w:r>
        <w:rPr>
          <w:b/>
          <w:bCs/>
          <w:color w:val="1F4E79"/>
          <w:sz w:val="18"/>
          <w:szCs w:val="18"/>
        </w:rPr>
        <w:t xml:space="preserve"> [RECOMMENDED] </w:t>
      </w:r>
      <w:r>
        <w:t xml:space="preserve">This founder-credibility angle (Section 1.3/4.3 of the plan: Damian's NPHL background) should visibly shape the About page and homepage — not sit in a bio nobody reads.</w:t>
      </w:r>
    </w:p>
    <w:p>
      <w:pPr>
        <w:pStyle w:val="Heading1"/>
        <w:spacing w:after="200" w:before="480"/>
      </w:pPr>
      <w:r>
        <w:t xml:space="preserve">9. Offer &amp; Value Proposition Architecture (Part VIII)</w:t>
      </w:r>
    </w:p>
    <w:p>
      <w:pPr>
        <w:pStyle w:val="Heading3"/>
        <w:spacing w:after="120" w:before="240"/>
      </w:pPr>
      <w:r>
        <w:t xml:space="preserve">One-line positioning</w:t>
      </w:r>
    </w:p>
    <w:p>
      <w:pPr>
        <w:pBdr>
          <w:left w:val="single" w:color="1F5C4C" w:sz="12" w:space="8"/>
        </w:pBdr>
        <w:spacing w:after="200" w:before="100"/>
        <w:ind w:left="360"/>
      </w:pPr>
      <w:r>
        <w:rPr>
          <w:i/>
          <w:iCs/>
        </w:rPr>
        <w:t xml:space="preserve">QualiTracker is a digital quality management system with a built-in AI assistant that helps East African medical laboratories replace paper-based compliance with a searchable, audit-ready, remotely-reviewable system — at a price built for the budget they actually have.</w:t>
      </w:r>
    </w:p>
    <w:p>
      <w:pPr>
        <w:pStyle w:val="Heading3"/>
        <w:spacing w:after="120" w:before="240"/>
      </w:pPr>
      <w:r>
        <w:t xml:space="preserve">Elevator pitch</w:t>
      </w:r>
    </w:p>
    <w:p>
      <w:pPr>
        <w:spacing w:after="160"/>
      </w:pPr>
      <w:r>
        <w:t xml:space="preserve">Every quality record in a typical Tanzanian lab — temperature charts, CAPA forms, SOP sign-offs — lives in a binder that gets shredded when it runs out of room. QualiTracker digitizes all of it, tracks quality indicators automatically, and lets staff ask their own SOPs a question in plain language and get a cited answer — so accreditation prep stops being a binder crisis.</w:t>
      </w:r>
    </w:p>
    <w:p>
      <w:pPr>
        <w:pStyle w:val="Heading3"/>
        <w:spacing w:after="120" w:before="240"/>
      </w:pPr>
      <w:r>
        <w:t xml:space="preserve">Message hierarchy (Part VIII structure, applied per persona)</w:t>
      </w:r>
    </w:p>
    <w:p>
      <w:pPr>
        <w:pStyle w:val="Heading3"/>
        <w:spacing w:after="120" w:before="240"/>
      </w:pPr>
      <w:r>
        <w:t xml:space="preserve">Lab Director / QMS Officer</w:t>
      </w:r>
    </w:p>
    <w:p>
      <w:pPr>
        <w:pStyle w:val="ListParagraph"/>
        <w:numPr>
          <w:ilvl w:val="0"/>
          <w:numId w:val="2"/>
        </w:numPr>
        <w:spacing w:after="80"/>
      </w:pPr>
      <w:r>
        <w:t xml:space="preserve">Problem → Paper QMS is expensive, error-prone, and makes audits stressful</w:t>
      </w:r>
    </w:p>
    <w:p>
      <w:pPr>
        <w:pStyle w:val="ListParagraph"/>
        <w:numPr>
          <w:ilvl w:val="0"/>
          <w:numId w:val="2"/>
        </w:numPr>
        <w:spacing w:after="80"/>
      </w:pPr>
      <w:r>
        <w:t xml:space="preserve">Solution → Digital QMS with automated alerts and remote-audit access</w:t>
      </w:r>
    </w:p>
    <w:p>
      <w:pPr>
        <w:pStyle w:val="ListParagraph"/>
        <w:numPr>
          <w:ilvl w:val="0"/>
          <w:numId w:val="2"/>
        </w:numPr>
        <w:spacing w:after="80"/>
      </w:pPr>
      <w:r>
        <w:t xml:space="preserve">Proof → NPHL deployment reference; founder's direct NPHL background</w:t>
      </w:r>
    </w:p>
    <w:p>
      <w:pPr>
        <w:pStyle w:val="ListParagraph"/>
        <w:numPr>
          <w:ilvl w:val="0"/>
          <w:numId w:val="2"/>
        </w:numPr>
        <w:spacing w:after="80"/>
      </w:pPr>
      <w:r>
        <w:t xml:space="preserve">CTA → Request a Demo</w:t>
      </w:r>
    </w:p>
    <w:p>
      <w:pPr>
        <w:pStyle w:val="Heading3"/>
        <w:spacing w:after="120" w:before="240"/>
      </w:pPr>
      <w:r>
        <w:t xml:space="preserve">Bench Staff</w:t>
      </w:r>
    </w:p>
    <w:p>
      <w:pPr>
        <w:pStyle w:val="ListParagraph"/>
        <w:numPr>
          <w:ilvl w:val="0"/>
          <w:numId w:val="2"/>
        </w:numPr>
        <w:spacing w:after="80"/>
      </w:pPr>
      <w:r>
        <w:t xml:space="preserve">Problem → Can't find the right SOP fast enough during a shift</w:t>
      </w:r>
    </w:p>
    <w:p>
      <w:pPr>
        <w:pStyle w:val="ListParagraph"/>
        <w:numPr>
          <w:ilvl w:val="0"/>
          <w:numId w:val="2"/>
        </w:numPr>
        <w:spacing w:after="80"/>
      </w:pPr>
      <w:r>
        <w:t xml:space="preserve">Solution → Ask-a-question chatbot grounded only in the lab's own documents</w:t>
      </w:r>
    </w:p>
    <w:p>
      <w:pPr>
        <w:pStyle w:val="ListParagraph"/>
        <w:numPr>
          <w:ilvl w:val="0"/>
          <w:numId w:val="2"/>
        </w:numPr>
        <w:spacing w:after="80"/>
      </w:pPr>
      <w:r>
        <w:t xml:space="preserve">Proof → Live, source-cited chatbot demo on the site</w:t>
      </w:r>
    </w:p>
    <w:p>
      <w:pPr>
        <w:pStyle w:val="ListParagraph"/>
        <w:numPr>
          <w:ilvl w:val="0"/>
          <w:numId w:val="2"/>
        </w:numPr>
        <w:spacing w:after="80"/>
      </w:pPr>
      <w:r>
        <w:t xml:space="preserve">CTA → See it answer a real question</w:t>
      </w:r>
    </w:p>
    <w:p>
      <w:pPr>
        <w:pStyle w:val="Heading3"/>
        <w:spacing w:after="120" w:before="240"/>
      </w:pPr>
      <w:r>
        <w:t xml:space="preserve">Accreditor / NGO</w:t>
      </w:r>
    </w:p>
    <w:p>
      <w:pPr>
        <w:pStyle w:val="ListParagraph"/>
        <w:numPr>
          <w:ilvl w:val="0"/>
          <w:numId w:val="2"/>
        </w:numPr>
        <w:spacing w:after="80"/>
      </w:pPr>
      <w:r>
        <w:t xml:space="preserve">Problem → In-person audits are costly and logistically burdensome</w:t>
      </w:r>
    </w:p>
    <w:p>
      <w:pPr>
        <w:pStyle w:val="ListParagraph"/>
        <w:numPr>
          <w:ilvl w:val="0"/>
          <w:numId w:val="2"/>
        </w:numPr>
        <w:spacing w:after="80"/>
      </w:pPr>
      <w:r>
        <w:t xml:space="preserve">Solution → Secure, view-only remote access to documentation and audit trails</w:t>
      </w:r>
    </w:p>
    <w:p>
      <w:pPr>
        <w:pStyle w:val="ListParagraph"/>
        <w:numPr>
          <w:ilvl w:val="0"/>
          <w:numId w:val="2"/>
        </w:numPr>
        <w:spacing w:after="80"/>
      </w:pPr>
      <w:r>
        <w:t xml:space="preserve">Proof → Clearly labeled VERIFIED vs. RECOMMENDED capability disclosure</w:t>
      </w:r>
    </w:p>
    <w:p>
      <w:pPr>
        <w:pStyle w:val="ListParagraph"/>
        <w:numPr>
          <w:ilvl w:val="0"/>
          <w:numId w:val="2"/>
        </w:numPr>
        <w:spacing w:after="80"/>
      </w:pPr>
      <w:r>
        <w:t xml:space="preserve">CTA → Request a technical brief</w:t>
      </w:r>
    </w:p>
    <w:p>
      <w:pPr>
        <w:pStyle w:val="Heading1"/>
        <w:spacing w:after="200" w:before="480"/>
      </w:pPr>
      <w:r>
        <w:t xml:space="preserve">10. Information Architecture &amp; Sitemap (Part IX)</w:t>
      </w:r>
    </w:p>
    <w:p>
      <w:pPr>
        <w:spacing w:after="160"/>
      </w:pPr>
      <w:r>
        <w:rPr>
          <w:b/>
          <w:bCs/>
          <w:color w:val="1F5C4C"/>
          <w:sz w:val="18"/>
          <w:szCs w:val="18"/>
        </w:rPr>
        <w:t xml:space="preserve"> [VERIFIED] </w:t>
      </w:r>
      <w:r>
        <w:t xml:space="preserve">The plan specifies four content pages plus a demo/contact page: Home, Features, Pricing, About, Contact/Request Demo — live by June 1, 2026.</w:t>
      </w:r>
    </w:p>
    <w:p>
      <w:pPr>
        <w:spacing w:after="160"/>
      </w:pPr>
      <w:r>
        <w:rPr>
          <w:b/>
          <w:bCs/>
          <w:color w:val="1F4E79"/>
          <w:sz w:val="18"/>
          <w:szCs w:val="18"/>
        </w:rPr>
        <w:t xml:space="preserve"> [RECOMMENDED] </w:t>
      </w:r>
      <w:r>
        <w:t xml:space="preserve">Keep this four-plus-one structure for launch — it matches the plan's timeline and the reality of a pre-traction venture. Do not over-build. Add only what serves the three personas above.</w:t>
      </w:r>
    </w:p>
    <w:p>
      <w:pPr>
        <w:spacing w:after="0"/>
      </w:pPr>
      <w:r>
        <w:rPr>
          <w:rFonts w:ascii="Courier New" w:cs="Courier New" w:eastAsia="Courier New" w:hAnsi="Courier New"/>
          <w:sz w:val="20"/>
          <w:szCs w:val="20"/>
        </w:rPr>
        <w:t xml:space="preserve">QUALITRACKER</w:t>
      </w:r>
    </w:p>
    <w:p>
      <w:pPr>
        <w:spacing w:after="0"/>
      </w:pPr>
      <w:r>
        <w:rPr>
          <w:rFonts w:ascii="Courier New" w:cs="Courier New" w:eastAsia="Courier New" w:hAnsi="Courier New"/>
          <w:sz w:val="20"/>
          <w:szCs w:val="20"/>
        </w:rPr>
        <w:t xml:space="preserve">├── Home</w:t>
      </w:r>
    </w:p>
    <w:p>
      <w:pPr>
        <w:spacing w:after="0"/>
      </w:pPr>
      <w:r>
        <w:rPr>
          <w:rFonts w:ascii="Courier New" w:cs="Courier New" w:eastAsia="Courier New" w:hAnsi="Courier New"/>
          <w:sz w:val="20"/>
          <w:szCs w:val="20"/>
        </w:rPr>
        <w:t xml:space="preserve">├── Features</w:t>
      </w:r>
    </w:p>
    <w:p>
      <w:pPr>
        <w:spacing w:after="0"/>
      </w:pPr>
      <w:r>
        <w:rPr>
          <w:rFonts w:ascii="Courier New" w:cs="Courier New" w:eastAsia="Courier New" w:hAnsi="Courier New"/>
          <w:sz w:val="20"/>
          <w:szCs w:val="20"/>
        </w:rPr>
        <w:t xml:space="preserve">│     ├── QMS Module (documents, version control, audit trail)</w:t>
      </w:r>
    </w:p>
    <w:p>
      <w:pPr>
        <w:spacing w:after="0"/>
      </w:pPr>
      <w:r>
        <w:rPr>
          <w:rFonts w:ascii="Courier New" w:cs="Courier New" w:eastAsia="Courier New" w:hAnsi="Courier New"/>
          <w:sz w:val="20"/>
          <w:szCs w:val="20"/>
        </w:rPr>
        <w:t xml:space="preserve">│     └── RAG Chatbot (live demo embed, example queries)</w:t>
      </w:r>
    </w:p>
    <w:p>
      <w:pPr>
        <w:spacing w:after="0"/>
      </w:pPr>
      <w:r>
        <w:rPr>
          <w:rFonts w:ascii="Courier New" w:cs="Courier New" w:eastAsia="Courier New" w:hAnsi="Courier New"/>
          <w:sz w:val="20"/>
          <w:szCs w:val="20"/>
        </w:rPr>
        <w:t xml:space="preserve">├── Pricing</w:t>
      </w:r>
    </w:p>
    <w:p>
      <w:pPr>
        <w:spacing w:after="0"/>
      </w:pPr>
      <w:r>
        <w:rPr>
          <w:rFonts w:ascii="Courier New" w:cs="Courier New" w:eastAsia="Courier New" w:hAnsi="Courier New"/>
          <w:sz w:val="20"/>
          <w:szCs w:val="20"/>
        </w:rPr>
        <w:t xml:space="preserve">│     ├── Pilot Program (free)</w:t>
      </w:r>
    </w:p>
    <w:p>
      <w:pPr>
        <w:spacing w:after="0"/>
      </w:pPr>
      <w:r>
        <w:rPr>
          <w:rFonts w:ascii="Courier New" w:cs="Courier New" w:eastAsia="Courier New" w:hAnsi="Courier New"/>
          <w:sz w:val="20"/>
          <w:szCs w:val="20"/>
        </w:rPr>
        <w:t xml:space="preserve">│     ├── Standard Institution (USD 500–1,500/yr)</w:t>
      </w:r>
    </w:p>
    <w:p>
      <w:pPr>
        <w:spacing w:after="0"/>
      </w:pPr>
      <w:r>
        <w:rPr>
          <w:rFonts w:ascii="Courier New" w:cs="Courier New" w:eastAsia="Courier New" w:hAnsi="Courier New"/>
          <w:sz w:val="20"/>
          <w:szCs w:val="20"/>
        </w:rPr>
        <w:t xml:space="preserve">│     └── NGO / Partner Network (contact)</w:t>
      </w:r>
    </w:p>
    <w:p>
      <w:pPr>
        <w:spacing w:after="0"/>
      </w:pPr>
      <w:r>
        <w:rPr>
          <w:rFonts w:ascii="Courier New" w:cs="Courier New" w:eastAsia="Courier New" w:hAnsi="Courier New"/>
          <w:sz w:val="20"/>
          <w:szCs w:val="20"/>
        </w:rPr>
        <w:t xml:space="preserve">├── About</w:t>
      </w:r>
    </w:p>
    <w:p>
      <w:pPr>
        <w:spacing w:after="0"/>
      </w:pPr>
      <w:r>
        <w:rPr>
          <w:rFonts w:ascii="Courier New" w:cs="Courier New" w:eastAsia="Courier New" w:hAnsi="Courier New"/>
          <w:sz w:val="20"/>
          <w:szCs w:val="20"/>
        </w:rPr>
        <w:t xml:space="preserve">│     ├── Founding story (NPHL background)</w:t>
      </w:r>
    </w:p>
    <w:p>
      <w:pPr>
        <w:spacing w:after="0"/>
      </w:pPr>
      <w:r>
        <w:rPr>
          <w:rFonts w:ascii="Courier New" w:cs="Courier New" w:eastAsia="Courier New" w:hAnsi="Courier New"/>
          <w:sz w:val="20"/>
          <w:szCs w:val="20"/>
        </w:rPr>
        <w:t xml:space="preserve">│     └── Team</w:t>
      </w:r>
    </w:p>
    <w:p>
      <w:pPr>
        <w:spacing w:after="0"/>
      </w:pPr>
      <w:r>
        <w:rPr>
          <w:rFonts w:ascii="Courier New" w:cs="Courier New" w:eastAsia="Courier New" w:hAnsi="Courier New"/>
          <w:sz w:val="20"/>
          <w:szCs w:val="20"/>
        </w:rPr>
        <w:t xml:space="preserve">└── Contact / Request a Demo</w:t>
      </w:r>
    </w:p>
    <w:p>
      <w:pPr>
        <w:spacing w:after="240"/>
      </w:pPr>
      <w:r>
        <w:rPr>
          <w:rFonts w:ascii="Courier New" w:cs="Courier New" w:eastAsia="Courier New" w:hAnsi="Courier New"/>
          <w:sz w:val="20"/>
          <w:szCs w:val="20"/>
        </w:rPr>
        <w:t xml:space="preserve">        └── Calendly embed</w:t>
      </w:r>
    </w:p>
    <w:p>
      <w:pPr>
        <w:spacing w:after="160"/>
      </w:pPr>
      <w:r>
        <w:t xml:space="preserve">Deferred to post-MVP (Phase 3, v1.0) once CAPA tracker, equipment log, EQA tracker, and multi-lab support ship:</w:t>
      </w:r>
    </w:p>
    <w:p>
      <w:pPr>
        <w:pStyle w:val="ListParagraph"/>
        <w:numPr>
          <w:ilvl w:val="0"/>
          <w:numId w:val="2"/>
        </w:numPr>
        <w:spacing w:after="80"/>
      </w:pPr>
      <w:r>
        <w:rPr>
          <w:b/>
          <w:bCs/>
          <w:color w:val="1F4E79"/>
          <w:sz w:val="18"/>
          <w:szCs w:val="18"/>
        </w:rPr>
        <w:t xml:space="preserve"> [RECOMMENDED] </w:t>
      </w:r>
      <w:r>
        <w:t xml:space="preserve">A dedicated Solutions/Industries split (public hospital labs vs. private diagnostic networks vs. lab networks) once multi-laboratory support exists to justify it.</w:t>
      </w:r>
    </w:p>
    <w:p>
      <w:pPr>
        <w:pStyle w:val="ListParagraph"/>
        <w:numPr>
          <w:ilvl w:val="0"/>
          <w:numId w:val="2"/>
        </w:numPr>
        <w:spacing w:after="80"/>
      </w:pPr>
      <w:r>
        <w:rPr>
          <w:b/>
          <w:bCs/>
          <w:color w:val="1F4E79"/>
          <w:sz w:val="18"/>
          <w:szCs w:val="18"/>
        </w:rPr>
        <w:t xml:space="preserve"> [RECOMMENDED] </w:t>
      </w:r>
      <w:r>
        <w:t xml:space="preserve">A Resources/blog section — the plan's own content marketing tier (1 blog post/month) implies this will be needed by Phase 2, but it is not required for the June 1 launch.</w:t>
      </w:r>
    </w:p>
    <w:p>
      <w:pPr>
        <w:pStyle w:val="ListParagraph"/>
        <w:numPr>
          <w:ilvl w:val="0"/>
          <w:numId w:val="2"/>
        </w:numPr>
        <w:spacing w:after="80"/>
      </w:pPr>
      <w:r>
        <w:rPr>
          <w:b/>
          <w:bCs/>
          <w:color w:val="1F4E79"/>
          <w:sz w:val="18"/>
          <w:szCs w:val="18"/>
        </w:rPr>
        <w:t xml:space="preserve"> [RECOMMENDED] </w:t>
      </w:r>
      <w:r>
        <w:t xml:space="preserve">A Security/Trust page distinct from About, once there is more to disclose than the MVP's access-role model.</w:t>
      </w:r>
    </w:p>
    <w:p>
      <w:pPr>
        <w:pStyle w:val="Heading1"/>
        <w:spacing w:after="200" w:before="480"/>
      </w:pPr>
      <w:r>
        <w:t xml:space="preserve">11. Critical User Flows (Part X)</w:t>
      </w:r>
    </w:p>
    <w:p>
      <w:pPr>
        <w:pStyle w:val="Heading3"/>
        <w:spacing w:after="120" w:before="240"/>
      </w:pPr>
      <w:r>
        <w:t xml:space="preserve">Flow A — Lab Director requesting a demo</w:t>
      </w:r>
    </w:p>
    <w:p>
      <w:pPr>
        <w:spacing w:after="160"/>
      </w:pPr>
      <w:r>
        <w:t xml:space="preserve">Homepage Hero → Problem/Solution section → Product feature highlights → Pilot program section (email capture) → Confirmation → Calendly booking.</w:t>
      </w:r>
    </w:p>
    <w:p>
      <w:pPr>
        <w:pStyle w:val="Heading3"/>
        <w:spacing w:after="120" w:before="240"/>
      </w:pPr>
      <w:r>
        <w:t xml:space="preserve">Flow B — Skeptical evaluator checking if it's real</w:t>
      </w:r>
    </w:p>
    <w:p>
      <w:pPr>
        <w:spacing w:after="160"/>
      </w:pPr>
      <w:r>
        <w:t xml:space="preserve">Homepage → Features page → live chatbot demo interaction → comparison table (vs. paper/spreadsheet, vs. global competitors) → Pricing → Contact form.</w:t>
      </w:r>
    </w:p>
    <w:p>
      <w:pPr>
        <w:pStyle w:val="Heading3"/>
        <w:spacing w:after="120" w:before="240"/>
      </w:pPr>
      <w:r>
        <w:t xml:space="preserve">Flow C — Accreditor/NGO validating legitimacy</w:t>
      </w:r>
    </w:p>
    <w:p>
      <w:pPr>
        <w:spacing w:after="160"/>
      </w:pPr>
      <w:r>
        <w:t xml:space="preserve">Homepage → About (founding story, NPHL reference) → Contact → request for a technical/grant-ready brief (a downloadable one-pager referenced in the plan's Tier 2 traction strategy, not a full page build).</w:t>
      </w:r>
    </w:p>
    <w:p>
      <w:pPr>
        <w:spacing w:after="160"/>
      </w:pPr>
      <w:r>
        <w:rPr>
          <w:b/>
          <w:bCs/>
          <w:color w:val="1F4E79"/>
          <w:sz w:val="18"/>
          <w:szCs w:val="18"/>
        </w:rPr>
        <w:t xml:space="preserve"> [RECOMMENDED] </w:t>
      </w:r>
      <w:r>
        <w:t xml:space="preserve">Every flow above should have an explicit friction point flagged during build: the email-capture pilot form (Flow A) should ask for institution + country + role only — anything longer will suppress the exact skeptical-but-curious lab director this flow is built for.</w:t>
      </w:r>
    </w:p>
    <w:p>
      <w:pPr>
        <w:pStyle w:val="Heading1"/>
        <w:spacing w:after="200" w:before="480"/>
      </w:pPr>
      <w:r>
        <w:t xml:space="preserve">12. Homepage Strategy (Part XI)</w:t>
      </w:r>
    </w:p>
    <w:p>
      <w:pPr>
        <w:spacing w:after="160"/>
      </w:pPr>
      <w:r>
        <w:rPr>
          <w:b/>
          <w:bCs/>
          <w:color w:val="1F5C4C"/>
          <w:sz w:val="18"/>
          <w:szCs w:val="18"/>
        </w:rPr>
        <w:t xml:space="preserve"> [VERIFIED] </w:t>
      </w:r>
      <w:r>
        <w:t xml:space="preserve">The plan already specifies: Hero (headline + one-sentence value prop + Request a Demo CTA), Problem/Solution, product feature highlights, social proof, and a pilot program email-capture section.</w:t>
      </w:r>
    </w:p>
    <w:p>
      <w:pPr>
        <w:pStyle w:val="Heading3"/>
        <w:spacing w:after="120" w:before="240"/>
      </w:pPr>
      <w:r>
        <w:t xml:space="preserve">Refined section-by-section direction</w:t>
      </w:r>
    </w:p>
    <w:p>
      <w:pPr>
        <w:pStyle w:val="Heading3"/>
        <w:spacing w:after="120" w:before="240"/>
      </w:pPr>
      <w:r>
        <w:t xml:space="preserve">Hero</w:t>
      </w:r>
    </w:p>
    <w:p>
      <w:pPr>
        <w:pStyle w:val="ListParagraph"/>
        <w:numPr>
          <w:ilvl w:val="0"/>
          <w:numId w:val="2"/>
        </w:numPr>
        <w:spacing w:after="80"/>
      </w:pPr>
      <w:r>
        <w:t xml:space="preserve">Headline: “Quality that works for every lab.” (use the plan's own tagline — it already passes the clarity test)</w:t>
      </w:r>
    </w:p>
    <w:p>
      <w:pPr>
        <w:pStyle w:val="ListParagraph"/>
        <w:numPr>
          <w:ilvl w:val="0"/>
          <w:numId w:val="2"/>
        </w:numPr>
        <w:spacing w:after="80"/>
      </w:pPr>
      <w:r>
        <w:t xml:space="preserve">Subheadline: “Digitize your quality management system and give your team an AI assistant that answers SOP questions instantly — built for East African laboratories, priced for their budgets.”</w:t>
      </w:r>
    </w:p>
    <w:p>
      <w:pPr>
        <w:pStyle w:val="ListParagraph"/>
        <w:numPr>
          <w:ilvl w:val="0"/>
          <w:numId w:val="2"/>
        </w:numPr>
        <w:spacing w:after="80"/>
      </w:pPr>
      <w:r>
        <w:t xml:space="preserve">Primary CTA: Request a Demo. Secondary CTA: Join the Pilot Cohort.</w:t>
      </w:r>
    </w:p>
    <w:p>
      <w:pPr>
        <w:pStyle w:val="ListParagraph"/>
        <w:numPr>
          <w:ilvl w:val="0"/>
          <w:numId w:val="2"/>
        </w:numPr>
        <w:spacing w:after="80"/>
      </w:pPr>
      <w:r>
        <w:t xml:space="preserve">Visual: a real (or realistic, clearly-labeled-as-illustrative if not yet screenshotted) product view — the chatbot answering a query with a source citation. This is the single highest-trust visual available.</w:t>
      </w:r>
    </w:p>
    <w:p>
      <w:pPr>
        <w:pStyle w:val="Heading3"/>
        <w:spacing w:after="120" w:before="240"/>
      </w:pPr>
      <w:r>
        <w:t xml:space="preserve">Problem section</w:t>
      </w:r>
    </w:p>
    <w:p>
      <w:pPr>
        <w:spacing w:after="160"/>
      </w:pPr>
      <w:r>
        <w:t xml:space="preserve">Use the plan's own framing almost verbatim — it is specific and credible: “Your quality records are buried in binders. Your staff can't find what they need.” Pair with the three real problems from Section 1.1 of the plan (cost, operational risk, accreditation burden) rather than generic “fragmented systems” language.</w:t>
      </w:r>
    </w:p>
    <w:p>
      <w:pPr>
        <w:pStyle w:val="Heading3"/>
        <w:spacing w:after="120" w:before="240"/>
      </w:pPr>
      <w:r>
        <w:t xml:space="preserve">Product / solution section</w:t>
      </w:r>
    </w:p>
    <w:p>
      <w:pPr>
        <w:spacing w:after="160"/>
      </w:pPr>
      <w:r>
        <w:t xml:space="preserve">Two modules only, per MVP scope: QMS Module and RAG Chatbot. Do not preview CAPA tracker, equipment log, or EQA tracker as if shipped — label them “coming Phase 3” if shown at all.</w:t>
      </w:r>
    </w:p>
    <w:p>
      <w:pPr>
        <w:pStyle w:val="Heading3"/>
        <w:spacing w:after="120" w:before="240"/>
      </w:pPr>
      <w:r>
        <w:t xml:space="preserve">Social proof section</w:t>
      </w:r>
    </w:p>
    <w:p>
      <w:pPr>
        <w:spacing w:after="160"/>
      </w:pPr>
      <w:r>
        <w:rPr>
          <w:b/>
          <w:bCs/>
          <w:color w:val="1F4E79"/>
          <w:sz w:val="18"/>
          <w:szCs w:val="18"/>
        </w:rPr>
        <w:t xml:space="preserve"> [RECOMMENDED] </w:t>
      </w:r>
      <w:r>
        <w:t xml:space="preserve">This is the section requiring the most discipline. Use only what is real: the NPHL deployment reference and the founding team's NPHL/DrPH credentials. Do not add customer logos, testimonial quotes, or usage statistics until they exist — an empty or fabricated proof section actively damages trust with the accreditor/NGO persona, who is trained to spot exactly this.</w:t>
      </w:r>
    </w:p>
    <w:p>
      <w:pPr>
        <w:pStyle w:val="Heading3"/>
        <w:spacing w:after="120" w:before="240"/>
      </w:pPr>
      <w:r>
        <w:t xml:space="preserve">Pilot program CTA</w:t>
      </w:r>
    </w:p>
    <w:p>
      <w:pPr>
        <w:spacing w:after="160"/>
      </w:pPr>
      <w:r>
        <w:t xml:space="preserve">Frame as scarcity that is true, not manufactured: “We're onboarding a small first cohort of pilot laboratories — apply to be one of them.” This matches the plan's actual intent (3–5 pilot labs) without inventing urgency.</w:t>
      </w:r>
    </w:p>
    <w:p>
      <w:pPr>
        <w:pStyle w:val="Heading1"/>
        <w:spacing w:after="200" w:before="480"/>
      </w:pPr>
      <w:r>
        <w:t xml:space="preserve">13. UX/UI Direction (Parts XII–XIV)</w:t>
      </w:r>
    </w:p>
    <w:p>
      <w:pPr>
        <w:pStyle w:val="Heading3"/>
        <w:spacing w:after="120" w:before="240"/>
      </w:pPr>
      <w:r>
        <w:t xml:space="preserve">Design concept</w:t>
      </w:r>
    </w:p>
    <w:p>
      <w:pPr>
        <w:spacing w:after="160"/>
      </w:pPr>
      <w:r>
        <w:t xml:space="preserve">“The lab's own system, made visible.” Avoid generic healthcare-blue hospital templates and avoid the “generic AI startup” aesthetic (gradients, glassmorphism, floating orbs). QualiTracker's credibility comes from operational precision, not futurism.</w:t>
      </w:r>
    </w:p>
    <w:p>
      <w:pPr>
        <w:pStyle w:val="Heading3"/>
        <w:spacing w:after="120" w:before="240"/>
      </w:pPr>
      <w:r>
        <w:t xml:space="preserve">Typography</w:t>
      </w:r>
    </w:p>
    <w:p>
      <w:pPr>
        <w:spacing w:after="160"/>
      </w:pPr>
      <w:r>
        <w:t xml:space="preserve">A clean, highly legible sans (Inter, IBM Plex Sans, or Manrope) — favor readability at small sizes over expressive display type, since a meaningful share of the audience will be on mid-range Android devices and variable connectivity.</w:t>
      </w:r>
    </w:p>
    <w:p>
      <w:pPr>
        <w:pStyle w:val="Heading3"/>
        <w:spacing w:after="120" w:before="240"/>
      </w:pPr>
      <w:r>
        <w:t xml:space="preserve">Color system</w:t>
      </w:r>
    </w:p>
    <w:p>
      <w:pPr>
        <w:spacing w:after="160"/>
      </w:pPr>
      <w:r>
        <w:t xml:space="preserve">Move deliberately away from default hospital blue. A grounded deep green/teal (evoking laboratory precision and the “quality” concept without cliché) as primary, warm neutral surfaces, and a restrained amber/red pairing reserved strictly for real quality-status indicators (e.g., temperature excursion, overdue CAPA) so those colors retain meaning inside the product screenshots shown on the site.</w:t>
      </w:r>
    </w:p>
    <w:p>
      <w:pPr>
        <w:pStyle w:val="Heading3"/>
        <w:spacing w:after="120" w:before="240"/>
      </w:pPr>
      <w:r>
        <w:t xml:space="preserve">Performance-first UX (non-negotiable for this audience)</w:t>
      </w:r>
    </w:p>
    <w:p>
      <w:pPr>
        <w:pStyle w:val="ListParagraph"/>
        <w:numPr>
          <w:ilvl w:val="0"/>
          <w:numId w:val="2"/>
        </w:numPr>
        <w:spacing w:after="80"/>
      </w:pPr>
      <w:r>
        <w:rPr>
          <w:b/>
          <w:bCs/>
          <w:color w:val="1F4E79"/>
          <w:sz w:val="18"/>
          <w:szCs w:val="18"/>
        </w:rPr>
        <w:t xml:space="preserve"> [RECOMMENDED] </w:t>
      </w:r>
      <w:r>
        <w:t xml:space="preserve">Design mobile-first and test on mid-tier Android hardware, not just desktop — much of the target audience will access the site (and the product) over constrained connectivity.</w:t>
      </w:r>
    </w:p>
    <w:p>
      <w:pPr>
        <w:pStyle w:val="ListParagraph"/>
        <w:numPr>
          <w:ilvl w:val="0"/>
          <w:numId w:val="2"/>
        </w:numPr>
        <w:spacing w:after="80"/>
      </w:pPr>
      <w:r>
        <w:rPr>
          <w:b/>
          <w:bCs/>
          <w:color w:val="1F4E79"/>
          <w:sz w:val="18"/>
          <w:szCs w:val="18"/>
        </w:rPr>
        <w:t xml:space="preserve"> [RECOMMENDED] </w:t>
      </w:r>
      <w:r>
        <w:t xml:space="preserve">Keep the homepage light: no heavy hero video, minimal JavaScript, optimized images — per Part XXII, performance is UX for this specific audience in a way it may not be for a US enterprise SaaS buyer.</w:t>
      </w:r>
    </w:p>
    <w:p>
      <w:pPr>
        <w:pStyle w:val="ListParagraph"/>
        <w:numPr>
          <w:ilvl w:val="0"/>
          <w:numId w:val="2"/>
        </w:numPr>
        <w:spacing w:after="80"/>
      </w:pPr>
      <w:r>
        <w:rPr>
          <w:b/>
          <w:bCs/>
          <w:color w:val="1F4E79"/>
          <w:sz w:val="18"/>
          <w:szCs w:val="18"/>
        </w:rPr>
        <w:t xml:space="preserve"> [RECOMMENDED] </w:t>
      </w:r>
      <w:r>
        <w:t xml:space="preserve">The live chatbot demo (if embedded) must have a fast, honest loading state — a slow or broken demo is worse than no demo for the skeptical-evaluator persona.</w:t>
      </w:r>
    </w:p>
    <w:p>
      <w:pPr>
        <w:pStyle w:val="Heading1"/>
        <w:spacing w:after="200" w:before="480"/>
      </w:pPr>
      <w:r>
        <w:t xml:space="preserve">14. Content Strategy &amp; Copywriting (Parts XV–XVI)</w:t>
      </w:r>
    </w:p>
    <w:p>
      <w:pPr>
        <w:spacing w:after="160"/>
      </w:pPr>
      <w:r>
        <w:t xml:space="preserve">Every section must answer: what does this specific visitor need to know here to confidently take the next step? Applied per persona:</w:t>
      </w:r>
    </w:p>
    <w:p>
      <w:pPr>
        <w:pStyle w:val="ListParagraph"/>
        <w:numPr>
          <w:ilvl w:val="0"/>
          <w:numId w:val="2"/>
        </w:numPr>
        <w:spacing w:after="80"/>
      </w:pPr>
      <w:r>
        <w:t xml:space="preserve">Lab Director reading the Features page needs to know this replaces her binder workflow specifically — not abstract “efficiency gains.”</w:t>
      </w:r>
    </w:p>
    <w:p>
      <w:pPr>
        <w:pStyle w:val="ListParagraph"/>
        <w:numPr>
          <w:ilvl w:val="0"/>
          <w:numId w:val="2"/>
        </w:numPr>
        <w:spacing w:after="80"/>
      </w:pPr>
      <w:r>
        <w:t xml:space="preserve">Bench staff need to see an actual example query and answer, not a description of “natural language search.”</w:t>
      </w:r>
    </w:p>
    <w:p>
      <w:pPr>
        <w:pStyle w:val="ListParagraph"/>
        <w:numPr>
          <w:ilvl w:val="0"/>
          <w:numId w:val="2"/>
        </w:numPr>
        <w:spacing w:after="80"/>
      </w:pPr>
      <w:r>
        <w:t xml:space="preserve">Accreditor/NGO readers need explicit, labeled honesty about MVP vs. roadmap capability — this is itself a trust-building content strategy, not a disclaimer to bury in fine print.</w:t>
      </w:r>
    </w:p>
    <w:p>
      <w:pPr>
        <w:pStyle w:val="Heading3"/>
        <w:spacing w:after="120" w:before="240"/>
      </w:pPr>
      <w:r>
        <w:t xml:space="preserve">Language to avoid</w:t>
      </w:r>
    </w:p>
    <w:p>
      <w:pPr>
        <w:spacing w:after="160"/>
      </w:pPr>
      <w:r>
        <w:t xml:space="preserve">Flag and remove: “revolutionize,” “industry-leading,” “world-class,” “next-generation,” “transforming laboratory excellence” — none of these are earned yet and all of them read as generic to the exact skeptical, standards-literate audience QualiTracker is targeting.</w:t>
      </w:r>
    </w:p>
    <w:p>
      <w:pPr>
        <w:pStyle w:val="Heading3"/>
        <w:spacing w:after="120" w:before="240"/>
      </w:pPr>
      <w:r>
        <w:t xml:space="preserve">Language to use</w:t>
      </w:r>
    </w:p>
    <w:p>
      <w:pPr>
        <w:spacing w:after="160"/>
      </w:pPr>
      <w:r>
        <w:t xml:space="preserve">Specific, operational, and standards-literate: “ISO 15189,” “SLIPTA,” “CAPA,” “audit trail,” “non-conformance,” “temperature excursion.” This vocabulary itself signals credibility to a QMS officer in a way marketing language cannot.</w:t>
      </w:r>
    </w:p>
    <w:p>
      <w:pPr>
        <w:pStyle w:val="Heading1"/>
        <w:spacing w:after="200" w:before="480"/>
      </w:pPr>
      <w:r>
        <w:t xml:space="preserve">15. Conversion Strategy &amp; Psychology (Parts XVII–XVIII)</w:t>
      </w:r>
    </w:p>
    <w:p>
      <w:pPr>
        <w:pStyle w:val="Heading3"/>
        <w:spacing w:after="120" w:before="240"/>
      </w:pPr>
      <w:r>
        <w:t xml:space="preserve">Primary conversion</w:t>
      </w:r>
    </w:p>
    <w:p>
      <w:pPr>
        <w:spacing w:after="160"/>
      </w:pPr>
      <w:r>
        <w:t xml:space="preserve">Request a Demo / Apply to the Pilot Cohort.</w:t>
      </w:r>
    </w:p>
    <w:p>
      <w:pPr>
        <w:pStyle w:val="Heading3"/>
        <w:spacing w:after="120" w:before="240"/>
      </w:pPr>
      <w:r>
        <w:t xml:space="preserve">Secondary conversions</w:t>
      </w:r>
    </w:p>
    <w:p>
      <w:pPr>
        <w:pStyle w:val="ListParagraph"/>
        <w:numPr>
          <w:ilvl w:val="0"/>
          <w:numId w:val="2"/>
        </w:numPr>
        <w:spacing w:after="80"/>
      </w:pPr>
      <w:r>
        <w:t xml:space="preserve">Newsletter/blog subscribe (once content marketing begins in Phase 2)</w:t>
      </w:r>
    </w:p>
    <w:p>
      <w:pPr>
        <w:pStyle w:val="ListParagraph"/>
        <w:numPr>
          <w:ilvl w:val="0"/>
          <w:numId w:val="2"/>
        </w:numPr>
        <w:spacing w:after="80"/>
      </w:pPr>
      <w:r>
        <w:t xml:space="preserve">Download a grant-ready technical brief (serves Tier 2 conference/grant traction)</w:t>
      </w:r>
    </w:p>
    <w:p>
      <w:pPr>
        <w:pStyle w:val="ListParagraph"/>
        <w:numPr>
          <w:ilvl w:val="0"/>
          <w:numId w:val="2"/>
        </w:numPr>
        <w:spacing w:after="80"/>
      </w:pPr>
      <w:r>
        <w:t xml:space="preserve">Direct Calendly booking (bypasses form friction entirely for warm outreach contacts)</w:t>
      </w:r>
    </w:p>
    <w:p>
      <w:pPr>
        <w:pStyle w:val="Heading3"/>
        <w:spacing w:after="120" w:before="240"/>
      </w:pPr>
      <w:r>
        <w:t xml:space="preserve">Ethical persuasion, not manipulation</w:t>
      </w:r>
    </w:p>
    <w:p>
      <w:pPr>
        <w:spacing w:after="160"/>
      </w:pPr>
      <w:r>
        <w:rPr>
          <w:b/>
          <w:bCs/>
          <w:color w:val="1F4E79"/>
          <w:sz w:val="18"/>
          <w:szCs w:val="18"/>
        </w:rPr>
        <w:t xml:space="preserve"> [RECOMMENDED] </w:t>
      </w:r>
      <w:r>
        <w:t xml:space="preserve">Legitimate trust and urgency levers available here: real scarcity (a genuinely small first pilot cohort), real authority (Damian's NPHL background and DrPH research), and real specificity (transparent pricing). No fake countdown timers, no fabricated “X labs already joined” counters, no forced-continuity signup. The audience for this specific product — quality management professionals — is unusually well-equipped to detect and penalize exactly this kind of manipulation.</w:t>
      </w:r>
    </w:p>
    <w:p>
      <w:pPr>
        <w:pStyle w:val="Heading1"/>
        <w:spacing w:after="200" w:before="480"/>
      </w:pPr>
      <w:r>
        <w:t xml:space="preserve">16. SEO &amp; AI Discoverability (Parts XIX–XX)</w:t>
      </w:r>
    </w:p>
    <w:p>
      <w:pPr>
        <w:pStyle w:val="Heading3"/>
        <w:spacing w:after="120" w:before="240"/>
      </w:pPr>
      <w:r>
        <w:t xml:space="preserve">Primary keywords (by search intent)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5C4C" w:val="clear"/>
            <w:tcMar>
              <w:top w:type="dxa" w:w="80"/>
              <w:left w:type="dxa" w:w="100"/>
              <w:bottom w:type="dxa" w:w="80"/>
              <w:right w:type="dxa" w:w="100"/>
            </w:tcMar>
          </w:tcPr>
          <w:p>
            <w:r>
              <w:rPr>
                <w:b/>
                <w:bCs/>
                <w:color w:val="FFFFFF"/>
                <w:sz w:val="20"/>
                <w:szCs w:val="20"/>
              </w:rPr>
              <w:t xml:space="preserve">Intent</w:t>
            </w:r>
          </w:p>
        </w:tc>
        <w:tc>
          <w:tcPr>
            <w:tcW w:type="dxa" w:w="6900"/>
            <w:shd w:fill="1F5C4C" w:val="clear"/>
            <w:tcMar>
              <w:top w:type="dxa" w:w="80"/>
              <w:left w:type="dxa" w:w="100"/>
              <w:bottom w:type="dxa" w:w="80"/>
              <w:right w:type="dxa" w:w="100"/>
            </w:tcMar>
          </w:tcPr>
          <w:p>
            <w:r>
              <w:rPr>
                <w:b/>
                <w:bCs/>
                <w:color w:val="FFFFFF"/>
                <w:sz w:val="20"/>
                <w:szCs w:val="20"/>
              </w:rPr>
              <w:t xml:space="preserve">Example terms</w:t>
            </w:r>
          </w:p>
        </w:tc>
      </w:tr>
      <w:tr>
        <w:tc>
          <w:tcPr>
            <w:tcW w:type="dxa" w:w="2400"/>
            <w:tcMar>
              <w:top w:type="dxa" w:w="80"/>
              <w:left w:type="dxa" w:w="100"/>
              <w:bottom w:type="dxa" w:w="80"/>
              <w:right w:type="dxa" w:w="100"/>
            </w:tcMar>
          </w:tcPr>
          <w:p>
            <w:r>
              <w:rPr>
                <w:b w:val="false"/>
                <w:bCs w:val="false"/>
                <w:sz w:val="20"/>
                <w:szCs w:val="20"/>
              </w:rPr>
              <w:t xml:space="preserve">Informational</w:t>
            </w:r>
          </w:p>
        </w:tc>
        <w:tc>
          <w:tcPr>
            <w:tcW w:type="dxa" w:w="6900"/>
            <w:tcMar>
              <w:top w:type="dxa" w:w="80"/>
              <w:left w:type="dxa" w:w="100"/>
              <w:bottom w:type="dxa" w:w="80"/>
              <w:right w:type="dxa" w:w="100"/>
            </w:tcMar>
          </w:tcPr>
          <w:p>
            <w:r>
              <w:rPr>
                <w:b w:val="false"/>
                <w:bCs w:val="false"/>
                <w:sz w:val="20"/>
                <w:szCs w:val="20"/>
              </w:rPr>
              <w:t xml:space="preserve">ISO 15189 laboratory quality management, SLIPTA accreditation checklist, laboratory CAPA process</w:t>
            </w:r>
          </w:p>
        </w:tc>
      </w:tr>
      <w:tr>
        <w:tc>
          <w:tcPr>
            <w:tcW w:type="dxa" w:w="2400"/>
            <w:tcMar>
              <w:top w:type="dxa" w:w="80"/>
              <w:left w:type="dxa" w:w="100"/>
              <w:bottom w:type="dxa" w:w="80"/>
              <w:right w:type="dxa" w:w="100"/>
            </w:tcMar>
          </w:tcPr>
          <w:p>
            <w:r>
              <w:rPr>
                <w:b w:val="false"/>
                <w:bCs w:val="false"/>
                <w:sz w:val="20"/>
                <w:szCs w:val="20"/>
              </w:rPr>
              <w:t xml:space="preserve">Commercial</w:t>
            </w:r>
          </w:p>
        </w:tc>
        <w:tc>
          <w:tcPr>
            <w:tcW w:type="dxa" w:w="6900"/>
            <w:tcMar>
              <w:top w:type="dxa" w:w="80"/>
              <w:left w:type="dxa" w:w="100"/>
              <w:bottom w:type="dxa" w:w="80"/>
              <w:right w:type="dxa" w:w="100"/>
            </w:tcMar>
          </w:tcPr>
          <w:p>
            <w:r>
              <w:rPr>
                <w:b w:val="false"/>
                <w:bCs w:val="false"/>
                <w:sz w:val="20"/>
                <w:szCs w:val="20"/>
              </w:rPr>
              <w:t xml:space="preserve">laboratory QMS software Tanzania, digital quality management system for medical laboratories, laboratory document control software Africa</w:t>
            </w:r>
          </w:p>
        </w:tc>
      </w:tr>
      <w:tr>
        <w:tc>
          <w:tcPr>
            <w:tcW w:type="dxa" w:w="2400"/>
            <w:tcMar>
              <w:top w:type="dxa" w:w="80"/>
              <w:left w:type="dxa" w:w="100"/>
              <w:bottom w:type="dxa" w:w="80"/>
              <w:right w:type="dxa" w:w="100"/>
            </w:tcMar>
          </w:tcPr>
          <w:p>
            <w:r>
              <w:rPr>
                <w:b w:val="false"/>
                <w:bCs w:val="false"/>
                <w:sz w:val="20"/>
                <w:szCs w:val="20"/>
              </w:rPr>
              <w:t xml:space="preserve">Navigational (future)</w:t>
            </w:r>
          </w:p>
        </w:tc>
        <w:tc>
          <w:tcPr>
            <w:tcW w:type="dxa" w:w="6900"/>
            <w:tcMar>
              <w:top w:type="dxa" w:w="80"/>
              <w:left w:type="dxa" w:w="100"/>
              <w:bottom w:type="dxa" w:w="80"/>
              <w:right w:type="dxa" w:w="100"/>
            </w:tcMar>
          </w:tcPr>
          <w:p>
            <w:r>
              <w:rPr>
                <w:b w:val="false"/>
                <w:bCs w:val="false"/>
                <w:sz w:val="20"/>
                <w:szCs w:val="20"/>
              </w:rPr>
              <w:t xml:space="preserve">QualiTracker QMS, QualiTracker chatbot</w:t>
            </w:r>
          </w:p>
        </w:tc>
      </w:tr>
    </w:tbl>
    <w:p>
      <w:pPr>
        <w:spacing w:after="160"/>
      </w:pPr>
      <w:r>
        <w:t xml:space="preserve"/>
      </w:r>
    </w:p>
    <w:p>
      <w:pPr>
        <w:spacing w:after="160"/>
      </w:pPr>
      <w:r>
        <w:rPr>
          <w:b/>
          <w:bCs/>
          <w:color w:val="1F4E79"/>
          <w:sz w:val="18"/>
          <w:szCs w:val="18"/>
        </w:rPr>
        <w:t xml:space="preserve"> [RECOMMENDED] </w:t>
      </w:r>
      <w:r>
        <w:t xml:space="preserve">Given a June 1 launch with no existing domain authority, SEO should not be a launch-blocking priority — the plan's own traction strategy correctly leans on direct outreach and LinkedIn first. Build clean technical SEO foundations (semantic headings, structured metadata, fast load) at launch, and treat keyword-targeted content as a Phase 2 investment once the monthly blog cadence (Section 4.5, Tier 3) begins.</w:t>
      </w:r>
    </w:p>
    <w:p>
      <w:pPr>
        <w:spacing w:after="160"/>
      </w:pPr>
      <w:r>
        <w:rPr>
          <w:b/>
          <w:bCs/>
          <w:color w:val="1F4E79"/>
          <w:sz w:val="18"/>
          <w:szCs w:val="18"/>
        </w:rPr>
        <w:t xml:space="preserve"> [RECOMMENDED] </w:t>
      </w:r>
      <w:r>
        <w:t xml:space="preserve">For AI/answer-engine discoverability: structure product and pricing information as clean, machine-parseable text (not embedded in images) so that AI search tools researching “laboratory QMS options for East Africa” can accurately surface QualiTracker's actual capabilities and pricing.</w:t>
      </w:r>
    </w:p>
    <w:p>
      <w:pPr>
        <w:pStyle w:val="Heading1"/>
        <w:spacing w:after="200" w:before="480"/>
      </w:pPr>
      <w:r>
        <w:t xml:space="preserve">17. Analytics &amp; Measurement Plan (Part XXI)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00"/>
      </w:tblGrid>
      <w:tr>
        <w:tc>
          <w:tcPr>
            <w:tcW w:type="dxa" w:w="2400"/>
            <w:shd w:fill="1F5C4C" w:val="clear"/>
            <w:tcMar>
              <w:top w:type="dxa" w:w="80"/>
              <w:left w:type="dxa" w:w="100"/>
              <w:bottom w:type="dxa" w:w="80"/>
              <w:right w:type="dxa" w:w="100"/>
            </w:tcMar>
          </w:tcPr>
          <w:p>
            <w:r>
              <w:rPr>
                <w:b/>
                <w:bCs/>
                <w:color w:val="FFFFFF"/>
                <w:sz w:val="20"/>
                <w:szCs w:val="20"/>
              </w:rPr>
              <w:t xml:space="preserve">Metric</w:t>
            </w:r>
          </w:p>
        </w:tc>
        <w:tc>
          <w:tcPr>
            <w:tcW w:type="dxa" w:w="3600"/>
            <w:shd w:fill="1F5C4C" w:val="clear"/>
            <w:tcMar>
              <w:top w:type="dxa" w:w="80"/>
              <w:left w:type="dxa" w:w="100"/>
              <w:bottom w:type="dxa" w:w="80"/>
              <w:right w:type="dxa" w:w="100"/>
            </w:tcMar>
          </w:tcPr>
          <w:p>
            <w:r>
              <w:rPr>
                <w:b/>
                <w:bCs/>
                <w:color w:val="FFFFFF"/>
                <w:sz w:val="20"/>
                <w:szCs w:val="20"/>
              </w:rPr>
              <w:t xml:space="preserve">Definition</w:t>
            </w:r>
          </w:p>
        </w:tc>
        <w:tc>
          <w:tcPr>
            <w:tcW w:type="dxa" w:w="3300"/>
            <w:shd w:fill="1F5C4C" w:val="clear"/>
            <w:tcMar>
              <w:top w:type="dxa" w:w="80"/>
              <w:left w:type="dxa" w:w="100"/>
              <w:bottom w:type="dxa" w:w="80"/>
              <w:right w:type="dxa" w:w="100"/>
            </w:tcMar>
          </w:tcPr>
          <w:p>
            <w:r>
              <w:rPr>
                <w:b/>
                <w:bCs/>
                <w:color w:val="FFFFFF"/>
                <w:sz w:val="20"/>
                <w:szCs w:val="20"/>
              </w:rPr>
              <w:t xml:space="preserve">Why it matters</w:t>
            </w:r>
          </w:p>
        </w:tc>
      </w:tr>
      <w:tr>
        <w:tc>
          <w:tcPr>
            <w:tcW w:type="dxa" w:w="2400"/>
            <w:tcMar>
              <w:top w:type="dxa" w:w="80"/>
              <w:left w:type="dxa" w:w="100"/>
              <w:bottom w:type="dxa" w:w="80"/>
              <w:right w:type="dxa" w:w="100"/>
            </w:tcMar>
          </w:tcPr>
          <w:p>
            <w:r>
              <w:rPr>
                <w:b w:val="false"/>
                <w:bCs w:val="false"/>
                <w:sz w:val="20"/>
                <w:szCs w:val="20"/>
              </w:rPr>
              <w:t xml:space="preserve">Traffic → Demo request</w:t>
            </w:r>
          </w:p>
        </w:tc>
        <w:tc>
          <w:tcPr>
            <w:tcW w:type="dxa" w:w="3600"/>
            <w:tcMar>
              <w:top w:type="dxa" w:w="80"/>
              <w:left w:type="dxa" w:w="100"/>
              <w:bottom w:type="dxa" w:w="80"/>
              <w:right w:type="dxa" w:w="100"/>
            </w:tcMar>
          </w:tcPr>
          <w:p>
            <w:r>
              <w:rPr>
                <w:b w:val="false"/>
                <w:bCs w:val="false"/>
                <w:sz w:val="20"/>
                <w:szCs w:val="20"/>
              </w:rPr>
              <w:t xml:space="preserve">% of visitors who submit the demo/pilot form</w:t>
            </w:r>
          </w:p>
        </w:tc>
        <w:tc>
          <w:tcPr>
            <w:tcW w:type="dxa" w:w="3300"/>
            <w:tcMar>
              <w:top w:type="dxa" w:w="80"/>
              <w:left w:type="dxa" w:w="100"/>
              <w:bottom w:type="dxa" w:w="80"/>
              <w:right w:type="dxa" w:w="100"/>
            </w:tcMar>
          </w:tcPr>
          <w:p>
            <w:r>
              <w:rPr>
                <w:b w:val="false"/>
                <w:bCs w:val="false"/>
                <w:sz w:val="20"/>
                <w:szCs w:val="20"/>
              </w:rPr>
              <w:t xml:space="preserve">Primary funnel health</w:t>
            </w:r>
          </w:p>
        </w:tc>
      </w:tr>
      <w:tr>
        <w:tc>
          <w:tcPr>
            <w:tcW w:type="dxa" w:w="2400"/>
            <w:tcMar>
              <w:top w:type="dxa" w:w="80"/>
              <w:left w:type="dxa" w:w="100"/>
              <w:bottom w:type="dxa" w:w="80"/>
              <w:right w:type="dxa" w:w="100"/>
            </w:tcMar>
          </w:tcPr>
          <w:p>
            <w:r>
              <w:rPr>
                <w:b w:val="false"/>
                <w:bCs w:val="false"/>
                <w:sz w:val="20"/>
                <w:szCs w:val="20"/>
              </w:rPr>
              <w:t xml:space="preserve">Demo request → Booked call</w:t>
            </w:r>
          </w:p>
        </w:tc>
        <w:tc>
          <w:tcPr>
            <w:tcW w:type="dxa" w:w="3600"/>
            <w:tcMar>
              <w:top w:type="dxa" w:w="80"/>
              <w:left w:type="dxa" w:w="100"/>
              <w:bottom w:type="dxa" w:w="80"/>
              <w:right w:type="dxa" w:w="100"/>
            </w:tcMar>
          </w:tcPr>
          <w:p>
            <w:r>
              <w:rPr>
                <w:b w:val="false"/>
                <w:bCs w:val="false"/>
                <w:sz w:val="20"/>
                <w:szCs w:val="20"/>
              </w:rPr>
              <w:t xml:space="preserve">% of form submissions that book a Calendly slot</w:t>
            </w:r>
          </w:p>
        </w:tc>
        <w:tc>
          <w:tcPr>
            <w:tcW w:type="dxa" w:w="3300"/>
            <w:tcMar>
              <w:top w:type="dxa" w:w="80"/>
              <w:left w:type="dxa" w:w="100"/>
              <w:bottom w:type="dxa" w:w="80"/>
              <w:right w:type="dxa" w:w="100"/>
            </w:tcMar>
          </w:tcPr>
          <w:p>
            <w:r>
              <w:rPr>
                <w:b w:val="false"/>
                <w:bCs w:val="false"/>
                <w:sz w:val="20"/>
                <w:szCs w:val="20"/>
              </w:rPr>
              <w:t xml:space="preserve">Sales-readiness of the offer</w:t>
            </w:r>
          </w:p>
        </w:tc>
      </w:tr>
      <w:tr>
        <w:tc>
          <w:tcPr>
            <w:tcW w:type="dxa" w:w="2400"/>
            <w:tcMar>
              <w:top w:type="dxa" w:w="80"/>
              <w:left w:type="dxa" w:w="100"/>
              <w:bottom w:type="dxa" w:w="80"/>
              <w:right w:type="dxa" w:w="100"/>
            </w:tcMar>
          </w:tcPr>
          <w:p>
            <w:r>
              <w:rPr>
                <w:b w:val="false"/>
                <w:bCs w:val="false"/>
                <w:sz w:val="20"/>
                <w:szCs w:val="20"/>
              </w:rPr>
              <w:t xml:space="preserve">Pilot applications</w:t>
            </w:r>
          </w:p>
        </w:tc>
        <w:tc>
          <w:tcPr>
            <w:tcW w:type="dxa" w:w="3600"/>
            <w:tcMar>
              <w:top w:type="dxa" w:w="80"/>
              <w:left w:type="dxa" w:w="100"/>
              <w:bottom w:type="dxa" w:w="80"/>
              <w:right w:type="dxa" w:w="100"/>
            </w:tcMar>
          </w:tcPr>
          <w:p>
            <w:r>
              <w:rPr>
                <w:b w:val="false"/>
                <w:bCs w:val="false"/>
                <w:sz w:val="20"/>
                <w:szCs w:val="20"/>
              </w:rPr>
              <w:t xml:space="preserve">Count vs. the 3–5-lab pilot cohort target</w:t>
            </w:r>
          </w:p>
        </w:tc>
        <w:tc>
          <w:tcPr>
            <w:tcW w:type="dxa" w:w="3300"/>
            <w:tcMar>
              <w:top w:type="dxa" w:w="80"/>
              <w:left w:type="dxa" w:w="100"/>
              <w:bottom w:type="dxa" w:w="80"/>
              <w:right w:type="dxa" w:w="100"/>
            </w:tcMar>
          </w:tcPr>
          <w:p>
            <w:r>
              <w:rPr>
                <w:b w:val="false"/>
                <w:bCs w:val="false"/>
                <w:sz w:val="20"/>
                <w:szCs w:val="20"/>
              </w:rPr>
              <w:t xml:space="preserve">Direct measure of the plan's own Section 4.5 goal</w:t>
            </w:r>
          </w:p>
        </w:tc>
      </w:tr>
      <w:tr>
        <w:tc>
          <w:tcPr>
            <w:tcW w:type="dxa" w:w="2400"/>
            <w:tcMar>
              <w:top w:type="dxa" w:w="80"/>
              <w:left w:type="dxa" w:w="100"/>
              <w:bottom w:type="dxa" w:w="80"/>
              <w:right w:type="dxa" w:w="100"/>
            </w:tcMar>
          </w:tcPr>
          <w:p>
            <w:r>
              <w:rPr>
                <w:b w:val="false"/>
                <w:bCs w:val="false"/>
                <w:sz w:val="20"/>
                <w:szCs w:val="20"/>
              </w:rPr>
              <w:t xml:space="preserve">LinkedIn → site traffic</w:t>
            </w:r>
          </w:p>
        </w:tc>
        <w:tc>
          <w:tcPr>
            <w:tcW w:type="dxa" w:w="3600"/>
            <w:tcMar>
              <w:top w:type="dxa" w:w="80"/>
              <w:left w:type="dxa" w:w="100"/>
              <w:bottom w:type="dxa" w:w="80"/>
              <w:right w:type="dxa" w:w="100"/>
            </w:tcMar>
          </w:tcPr>
          <w:p>
            <w:r>
              <w:rPr>
                <w:b w:val="false"/>
                <w:bCs w:val="false"/>
                <w:sz w:val="20"/>
                <w:szCs w:val="20"/>
              </w:rPr>
              <w:t xml:space="preserve">Referral traffic and conversion from the Tier 1–3 content cadence</w:t>
            </w:r>
          </w:p>
        </w:tc>
        <w:tc>
          <w:tcPr>
            <w:tcW w:type="dxa" w:w="3300"/>
            <w:tcMar>
              <w:top w:type="dxa" w:w="80"/>
              <w:left w:type="dxa" w:w="100"/>
              <w:bottom w:type="dxa" w:w="80"/>
              <w:right w:type="dxa" w:w="100"/>
            </w:tcMar>
          </w:tcPr>
          <w:p>
            <w:r>
              <w:rPr>
                <w:b w:val="false"/>
                <w:bCs w:val="false"/>
                <w:sz w:val="20"/>
                <w:szCs w:val="20"/>
              </w:rPr>
              <w:t xml:space="preserve">Validates the traction plan's channel bets</w:t>
            </w:r>
          </w:p>
        </w:tc>
      </w:tr>
    </w:tbl>
    <w:p>
      <w:pPr>
        <w:spacing w:after="160"/>
      </w:pPr>
      <w:r>
        <w:t xml:space="preserve"/>
      </w:r>
    </w:p>
    <w:p>
      <w:pPr>
        <w:spacing w:after="160"/>
      </w:pPr>
      <w:r>
        <w:rPr>
          <w:b/>
          <w:bCs/>
          <w:color w:val="1F4E79"/>
          <w:sz w:val="18"/>
          <w:szCs w:val="18"/>
        </w:rPr>
        <w:t xml:space="preserve"> [RECOMMENDED] </w:t>
      </w:r>
      <w:r>
        <w:t xml:space="preserve">Instrument before launch, not after — install basic analytics and event tracking on the demo form, pilot form, and Calendly embed on day one so the first cohort of real visitors is not lost data.</w:t>
      </w:r>
    </w:p>
    <w:p>
      <w:pPr>
        <w:pStyle w:val="Heading1"/>
        <w:spacing w:after="200" w:before="480"/>
      </w:pPr>
      <w:r>
        <w:t xml:space="preserve">18. Performance, Accessibility, Security &amp; Trust (Parts XXII–XXIV)</w:t>
      </w:r>
    </w:p>
    <w:p>
      <w:pPr>
        <w:pStyle w:val="Heading3"/>
        <w:spacing w:after="120" w:before="240"/>
      </w:pPr>
      <w:r>
        <w:t xml:space="preserve">Performance</w:t>
      </w:r>
    </w:p>
    <w:p>
      <w:pPr>
        <w:spacing w:after="160"/>
      </w:pPr>
      <w:r>
        <w:rPr>
          <w:b/>
          <w:bCs/>
          <w:color w:val="1F4E79"/>
          <w:sz w:val="18"/>
          <w:szCs w:val="18"/>
        </w:rPr>
        <w:t xml:space="preserve"> [RECOMMENDED] </w:t>
      </w:r>
      <w:r>
        <w:t xml:space="preserve">Target strong Core Web Vitals on mobile specifically, given the connectivity realities named in the plan's own Problem C (accreditors traveling internationally implies constrained local infrastructure is a live consideration, not a hypothetical).</w:t>
      </w:r>
    </w:p>
    <w:p>
      <w:pPr>
        <w:pStyle w:val="Heading3"/>
        <w:spacing w:after="120" w:before="240"/>
      </w:pPr>
      <w:r>
        <w:t xml:space="preserve">Accessibility</w:t>
      </w:r>
    </w:p>
    <w:p>
      <w:pPr>
        <w:spacing w:after="160"/>
      </w:pPr>
      <w:r>
        <w:rPr>
          <w:b/>
          <w:bCs/>
          <w:color w:val="1F4E79"/>
          <w:sz w:val="18"/>
          <w:szCs w:val="18"/>
        </w:rPr>
        <w:t xml:space="preserve"> [RECOMMENDED] </w:t>
      </w:r>
      <w:r>
        <w:t xml:space="preserve">Target WCAG 2.1 AA — sufficient color contrast, keyboard navigation, and semantic HTML, particularly since quality-management professionals span a wide age and technical-comfort range.</w:t>
      </w:r>
    </w:p>
    <w:p>
      <w:pPr>
        <w:pStyle w:val="Heading3"/>
        <w:spacing w:after="120" w:before="240"/>
      </w:pPr>
      <w:r>
        <w:t xml:space="preserve">Security &amp; trust signals</w:t>
      </w:r>
    </w:p>
    <w:p>
      <w:pPr>
        <w:spacing w:after="160"/>
      </w:pPr>
      <w:r>
        <w:rPr>
          <w:b/>
          <w:bCs/>
          <w:color w:val="1F5C4C"/>
          <w:sz w:val="18"/>
          <w:szCs w:val="18"/>
        </w:rPr>
        <w:t xml:space="preserve"> [VERIFIED] </w:t>
      </w:r>
      <w:r>
        <w:t xml:space="preserve">MVP includes: secure login (email + password), role-based access (Admin vs. Staff), audit trail logging of who viewed/downloaded which document, and document version control.</w:t>
      </w:r>
    </w:p>
    <w:p>
      <w:pPr>
        <w:pStyle w:val="Heading3"/>
        <w:spacing w:after="120" w:before="240"/>
      </w:pPr>
      <w:r>
        <w:t xml:space="preserve">Implemented vs. Planned vs. Recommended — disclosed honestly on the site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300"/>
        <w:gridCol w:w="4000"/>
      </w:tblGrid>
      <w:tr>
        <w:tc>
          <w:tcPr>
            <w:tcW w:type="dxa" w:w="5300"/>
            <w:shd w:fill="1F5C4C" w:val="clear"/>
            <w:tcMar>
              <w:top w:type="dxa" w:w="80"/>
              <w:left w:type="dxa" w:w="100"/>
              <w:bottom w:type="dxa" w:w="80"/>
              <w:right w:type="dxa" w:w="100"/>
            </w:tcMar>
          </w:tcPr>
          <w:p>
            <w:r>
              <w:rPr>
                <w:b/>
                <w:bCs/>
                <w:color w:val="FFFFFF"/>
                <w:sz w:val="20"/>
                <w:szCs w:val="20"/>
              </w:rPr>
              <w:t xml:space="preserve">Capability</w:t>
            </w:r>
          </w:p>
        </w:tc>
        <w:tc>
          <w:tcPr>
            <w:tcW w:type="dxa" w:w="4000"/>
            <w:shd w:fill="1F5C4C" w:val="clear"/>
            <w:tcMar>
              <w:top w:type="dxa" w:w="80"/>
              <w:left w:type="dxa" w:w="100"/>
              <w:bottom w:type="dxa" w:w="80"/>
              <w:right w:type="dxa" w:w="100"/>
            </w:tcMar>
          </w:tcPr>
          <w:p>
            <w:r>
              <w:rPr>
                <w:b/>
                <w:bCs/>
                <w:color w:val="FFFFFF"/>
                <w:sz w:val="20"/>
                <w:szCs w:val="20"/>
              </w:rPr>
              <w:t xml:space="preserve">Status</w:t>
            </w:r>
          </w:p>
        </w:tc>
      </w:tr>
      <w:tr>
        <w:tc>
          <w:tcPr>
            <w:tcW w:type="dxa" w:w="5300"/>
            <w:tcMar>
              <w:top w:type="dxa" w:w="80"/>
              <w:left w:type="dxa" w:w="100"/>
              <w:bottom w:type="dxa" w:w="80"/>
              <w:right w:type="dxa" w:w="100"/>
            </w:tcMar>
          </w:tcPr>
          <w:p>
            <w:r>
              <w:rPr>
                <w:b w:val="false"/>
                <w:bCs w:val="false"/>
                <w:sz w:val="20"/>
                <w:szCs w:val="20"/>
              </w:rPr>
              <w:t xml:space="preserve">Role-based access control (Admin/Staff)</w:t>
            </w:r>
          </w:p>
        </w:tc>
        <w:tc>
          <w:tcPr>
            <w:tcW w:type="dxa" w:w="4000"/>
            <w:tcMar>
              <w:top w:type="dxa" w:w="80"/>
              <w:left w:type="dxa" w:w="100"/>
              <w:bottom w:type="dxa" w:w="80"/>
              <w:right w:type="dxa" w:w="100"/>
            </w:tcMar>
          </w:tcPr>
          <w:p>
            <w:r>
              <w:rPr>
                <w:b w:val="false"/>
                <w:bCs w:val="false"/>
                <w:sz w:val="20"/>
                <w:szCs w:val="20"/>
              </w:rPr>
              <w:t xml:space="preserve">Implemented (MVP)</w:t>
            </w:r>
          </w:p>
        </w:tc>
      </w:tr>
      <w:tr>
        <w:tc>
          <w:tcPr>
            <w:tcW w:type="dxa" w:w="5300"/>
            <w:tcMar>
              <w:top w:type="dxa" w:w="80"/>
              <w:left w:type="dxa" w:w="100"/>
              <w:bottom w:type="dxa" w:w="80"/>
              <w:right w:type="dxa" w:w="100"/>
            </w:tcMar>
          </w:tcPr>
          <w:p>
            <w:r>
              <w:rPr>
                <w:b w:val="false"/>
                <w:bCs w:val="false"/>
                <w:sz w:val="20"/>
                <w:szCs w:val="20"/>
              </w:rPr>
              <w:t xml:space="preserve">Document audit trail (view/download logging)</w:t>
            </w:r>
          </w:p>
        </w:tc>
        <w:tc>
          <w:tcPr>
            <w:tcW w:type="dxa" w:w="4000"/>
            <w:tcMar>
              <w:top w:type="dxa" w:w="80"/>
              <w:left w:type="dxa" w:w="100"/>
              <w:bottom w:type="dxa" w:w="80"/>
              <w:right w:type="dxa" w:w="100"/>
            </w:tcMar>
          </w:tcPr>
          <w:p>
            <w:r>
              <w:rPr>
                <w:b w:val="false"/>
                <w:bCs w:val="false"/>
                <w:sz w:val="20"/>
                <w:szCs w:val="20"/>
              </w:rPr>
              <w:t xml:space="preserve">Implemented (MVP)</w:t>
            </w:r>
          </w:p>
        </w:tc>
      </w:tr>
      <w:tr>
        <w:tc>
          <w:tcPr>
            <w:tcW w:type="dxa" w:w="5300"/>
            <w:tcMar>
              <w:top w:type="dxa" w:w="80"/>
              <w:left w:type="dxa" w:w="100"/>
              <w:bottom w:type="dxa" w:w="80"/>
              <w:right w:type="dxa" w:w="100"/>
            </w:tcMar>
          </w:tcPr>
          <w:p>
            <w:r>
              <w:rPr>
                <w:b w:val="false"/>
                <w:bCs w:val="false"/>
                <w:sz w:val="20"/>
                <w:szCs w:val="20"/>
              </w:rPr>
              <w:t xml:space="preserve">Document version control</w:t>
            </w:r>
          </w:p>
        </w:tc>
        <w:tc>
          <w:tcPr>
            <w:tcW w:type="dxa" w:w="4000"/>
            <w:tcMar>
              <w:top w:type="dxa" w:w="80"/>
              <w:left w:type="dxa" w:w="100"/>
              <w:bottom w:type="dxa" w:w="80"/>
              <w:right w:type="dxa" w:w="100"/>
            </w:tcMar>
          </w:tcPr>
          <w:p>
            <w:r>
              <w:rPr>
                <w:b w:val="false"/>
                <w:bCs w:val="false"/>
                <w:sz w:val="20"/>
                <w:szCs w:val="20"/>
              </w:rPr>
              <w:t xml:space="preserve">Implemented (MVP)</w:t>
            </w:r>
          </w:p>
        </w:tc>
      </w:tr>
      <w:tr>
        <w:tc>
          <w:tcPr>
            <w:tcW w:type="dxa" w:w="5300"/>
            <w:tcMar>
              <w:top w:type="dxa" w:w="80"/>
              <w:left w:type="dxa" w:w="100"/>
              <w:bottom w:type="dxa" w:w="80"/>
              <w:right w:type="dxa" w:w="100"/>
            </w:tcMar>
          </w:tcPr>
          <w:p>
            <w:r>
              <w:rPr>
                <w:b w:val="false"/>
                <w:bCs w:val="false"/>
                <w:sz w:val="20"/>
                <w:szCs w:val="20"/>
              </w:rPr>
              <w:t xml:space="preserve">Remote view-only accreditor access</w:t>
            </w:r>
          </w:p>
        </w:tc>
        <w:tc>
          <w:tcPr>
            <w:tcW w:type="dxa" w:w="4000"/>
            <w:tcMar>
              <w:top w:type="dxa" w:w="80"/>
              <w:left w:type="dxa" w:w="100"/>
              <w:bottom w:type="dxa" w:w="80"/>
              <w:right w:type="dxa" w:w="100"/>
            </w:tcMar>
          </w:tcPr>
          <w:p>
            <w:r>
              <w:rPr>
                <w:b w:val="false"/>
                <w:bCs w:val="false"/>
                <w:sz w:val="20"/>
                <w:szCs w:val="20"/>
              </w:rPr>
              <w:t xml:space="preserve">Planned — described in plan Section 1.2 but not itemized in MVP feature list; verify before claiming on site</w:t>
            </w:r>
          </w:p>
        </w:tc>
      </w:tr>
      <w:tr>
        <w:tc>
          <w:tcPr>
            <w:tcW w:type="dxa" w:w="5300"/>
            <w:tcMar>
              <w:top w:type="dxa" w:w="80"/>
              <w:left w:type="dxa" w:w="100"/>
              <w:bottom w:type="dxa" w:w="80"/>
              <w:right w:type="dxa" w:w="100"/>
            </w:tcMar>
          </w:tcPr>
          <w:p>
            <w:r>
              <w:rPr>
                <w:b w:val="false"/>
                <w:bCs w:val="false"/>
                <w:sz w:val="20"/>
                <w:szCs w:val="20"/>
              </w:rPr>
              <w:t xml:space="preserve">Multi-laboratory tenant isolation</w:t>
            </w:r>
          </w:p>
        </w:tc>
        <w:tc>
          <w:tcPr>
            <w:tcW w:type="dxa" w:w="4000"/>
            <w:tcMar>
              <w:top w:type="dxa" w:w="80"/>
              <w:left w:type="dxa" w:w="100"/>
              <w:bottom w:type="dxa" w:w="80"/>
              <w:right w:type="dxa" w:w="100"/>
            </w:tcMar>
          </w:tcPr>
          <w:p>
            <w:r>
              <w:rPr>
                <w:b w:val="false"/>
                <w:bCs w:val="false"/>
                <w:sz w:val="20"/>
                <w:szCs w:val="20"/>
              </w:rPr>
              <w:t xml:space="preserve">Planned (Phase 3, v1.0)</w:t>
            </w:r>
          </w:p>
        </w:tc>
      </w:tr>
      <w:tr>
        <w:tc>
          <w:tcPr>
            <w:tcW w:type="dxa" w:w="5300"/>
            <w:tcMar>
              <w:top w:type="dxa" w:w="80"/>
              <w:left w:type="dxa" w:w="100"/>
              <w:bottom w:type="dxa" w:w="80"/>
              <w:right w:type="dxa" w:w="100"/>
            </w:tcMar>
          </w:tcPr>
          <w:p>
            <w:r>
              <w:rPr>
                <w:b w:val="false"/>
                <w:bCs w:val="false"/>
                <w:sz w:val="20"/>
                <w:szCs w:val="20"/>
              </w:rPr>
              <w:t xml:space="preserve">Formal security certification (SOC 2, ISO 27001, etc.)</w:t>
            </w:r>
          </w:p>
        </w:tc>
        <w:tc>
          <w:tcPr>
            <w:tcW w:type="dxa" w:w="4000"/>
            <w:tcMar>
              <w:top w:type="dxa" w:w="80"/>
              <w:left w:type="dxa" w:w="100"/>
              <w:bottom w:type="dxa" w:w="80"/>
              <w:right w:type="dxa" w:w="100"/>
            </w:tcMar>
          </w:tcPr>
          <w:p>
            <w:r>
              <w:rPr>
                <w:b w:val="false"/>
                <w:bCs w:val="false"/>
                <w:sz w:val="20"/>
                <w:szCs w:val="20"/>
              </w:rPr>
              <w:t xml:space="preserve">Not claimed — do not imply on site</w:t>
            </w:r>
          </w:p>
        </w:tc>
      </w:tr>
    </w:tbl>
    <w:p>
      <w:pPr>
        <w:spacing w:after="160"/>
      </w:pPr>
      <w:r>
        <w:t xml:space="preserve"/>
      </w:r>
    </w:p>
    <w:p>
      <w:pPr>
        <w:spacing w:after="160"/>
      </w:pPr>
      <w:r>
        <w:rPr>
          <w:b/>
          <w:bCs/>
          <w:color w:val="1F4E79"/>
          <w:sz w:val="18"/>
          <w:szCs w:val="18"/>
        </w:rPr>
        <w:t xml:space="preserve"> [RECOMMENDED] </w:t>
      </w:r>
      <w:r>
        <w:t xml:space="preserve">“Remote accreditor access” is described in the plan's solution narrative (1.2) but is not explicitly listed in the MVP feature set (2.2). Confirm with the engineering team whether this exists as a distinct access mode before stating it as a current capability on the website — if it doesn't yet exist as a separate permission level, describe it as a Phase 3 roadmap item, not a live feature.</w:t>
      </w:r>
    </w:p>
    <w:p>
      <w:pPr>
        <w:pStyle w:val="Heading1"/>
        <w:spacing w:after="200" w:before="480"/>
      </w:pPr>
      <w:r>
        <w:t xml:space="preserve">19. Technical Architecture Recommendation (Part XXVIII)</w:t>
      </w:r>
    </w:p>
    <w:p>
      <w:pPr>
        <w:spacing w:after="160"/>
      </w:pPr>
      <w:r>
        <w:rPr>
          <w:b/>
          <w:bCs/>
          <w:color w:val="1F5C4C"/>
          <w:sz w:val="18"/>
          <w:szCs w:val="18"/>
        </w:rPr>
        <w:t xml:space="preserve"> [VERIFIED] </w:t>
      </w:r>
      <w:r>
        <w:t xml:space="preserve">The product itself runs on a Django backend (built on the existing NPHL QMS Chatbot codebase), is web-based with no app install required.</w:t>
      </w:r>
    </w:p>
    <w:p>
      <w:pPr>
        <w:spacing w:after="160"/>
      </w:pPr>
      <w:r>
        <w:t xml:space="preserve">For the marketing website specifically (distinct from the application):</w:t>
      </w:r>
    </w:p>
    <w:p>
      <w:pPr>
        <w:pStyle w:val="ListParagraph"/>
        <w:numPr>
          <w:ilvl w:val="0"/>
          <w:numId w:val="2"/>
        </w:numPr>
        <w:spacing w:after="80"/>
      </w:pPr>
      <w:r>
        <w:rPr>
          <w:b/>
          <w:bCs/>
          <w:color w:val="1F4E79"/>
          <w:sz w:val="18"/>
          <w:szCs w:val="18"/>
        </w:rPr>
        <w:t xml:space="preserve"> [RECOMMENDED] </w:t>
      </w:r>
      <w:r>
        <w:t xml:space="preserve">A lightweight, fast, static-first marketing site (e.g., Next.js/React or a simple static site) kept independent of the Django application — the marketing site's job (fast load on constrained connections, easy content updates, SEO) is different from the application's job, and coupling them adds unnecessary deployment complexity for a 4-page site on a 17-day timeline.</w:t>
      </w:r>
    </w:p>
    <w:p>
      <w:pPr>
        <w:pStyle w:val="ListParagraph"/>
        <w:numPr>
          <w:ilvl w:val="0"/>
          <w:numId w:val="2"/>
        </w:numPr>
        <w:spacing w:after="80"/>
      </w:pPr>
      <w:r>
        <w:rPr>
          <w:b/>
          <w:bCs/>
          <w:color w:val="1F4E79"/>
          <w:sz w:val="18"/>
          <w:szCs w:val="18"/>
        </w:rPr>
        <w:t xml:space="preserve"> [RECOMMENDED] </w:t>
      </w:r>
      <w:r>
        <w:t xml:space="preserve">A simple CMS-free or lightweight-CMS content model, since the plan's content volume (4 pages + monthly blog posts from Phase 2) does not yet justify a full headless CMS investment.</w:t>
      </w:r>
    </w:p>
    <w:p>
      <w:pPr>
        <w:pStyle w:val="ListParagraph"/>
        <w:numPr>
          <w:ilvl w:val="0"/>
          <w:numId w:val="2"/>
        </w:numPr>
        <w:spacing w:after="80"/>
      </w:pPr>
      <w:r>
        <w:rPr>
          <w:b/>
          <w:bCs/>
          <w:color w:val="1F4E79"/>
          <w:sz w:val="18"/>
          <w:szCs w:val="18"/>
        </w:rPr>
        <w:t xml:space="preserve"> [RECOMMENDED] </w:t>
      </w:r>
      <w:r>
        <w:t xml:space="preserve">The Calendly embed and demo/pilot form should post to a simple backend endpoint or a lightweight form service — avoid building custom lead-capture infrastructure before there is lead volume to justify it.</w:t>
      </w:r>
    </w:p>
    <w:p>
      <w:pPr>
        <w:pStyle w:val="Heading1"/>
        <w:spacing w:after="200" w:before="480"/>
      </w:pPr>
      <w:r>
        <w:t xml:space="preserve">20. Success Definition &amp; Final Quality Gate (Parts XLV–XLVI)</w:t>
      </w:r>
    </w:p>
    <w:p>
      <w:pPr>
        <w:pStyle w:val="Heading3"/>
        <w:spacing w:after="120" w:before="240"/>
      </w:pPr>
      <w:r>
        <w:t xml:space="preserve">Success is defined as (agreed before launch, not redefined after)</w:t>
      </w:r>
    </w:p>
    <w:p>
      <w:pPr>
        <w:pStyle w:val="ListParagraph"/>
        <w:numPr>
          <w:ilvl w:val="0"/>
          <w:numId w:val="2"/>
        </w:numPr>
        <w:spacing w:after="80"/>
      </w:pPr>
      <w:r>
        <w:rPr>
          <w:b/>
          <w:bCs/>
          <w:color w:val="1F4E79"/>
          <w:sz w:val="18"/>
          <w:szCs w:val="18"/>
        </w:rPr>
        <w:t xml:space="preserve"> [RECOMMENDED] </w:t>
      </w:r>
      <w:r>
        <w:t xml:space="preserve">3–5 pilot laboratories recruited and onboarded through the site plus direct outreach, matching the plan's own Section 4.5 target.</w:t>
      </w:r>
    </w:p>
    <w:p>
      <w:pPr>
        <w:pStyle w:val="ListParagraph"/>
        <w:numPr>
          <w:ilvl w:val="0"/>
          <w:numId w:val="2"/>
        </w:numPr>
        <w:spacing w:after="80"/>
      </w:pPr>
      <w:r>
        <w:rPr>
          <w:b/>
          <w:bCs/>
          <w:color w:val="1F4E79"/>
          <w:sz w:val="18"/>
          <w:szCs w:val="18"/>
        </w:rPr>
        <w:t xml:space="preserve"> [RECOMMENDED] </w:t>
      </w:r>
      <w:r>
        <w:t xml:space="preserve">A functioning demo-request → Calendly-booking funnel with baseline conversion data captured from week one.</w:t>
      </w:r>
    </w:p>
    <w:p>
      <w:pPr>
        <w:pStyle w:val="ListParagraph"/>
        <w:numPr>
          <w:ilvl w:val="0"/>
          <w:numId w:val="2"/>
        </w:numPr>
        <w:spacing w:after="80"/>
      </w:pPr>
      <w:r>
        <w:rPr>
          <w:b/>
          <w:bCs/>
          <w:color w:val="1F4E79"/>
          <w:sz w:val="18"/>
          <w:szCs w:val="18"/>
        </w:rPr>
        <w:t xml:space="preserve"> [RECOMMENDED] </w:t>
      </w:r>
      <w:r>
        <w:t xml:space="preserve">At least one grant or partnership conversation (Tier 4) initiated with the website as a supporting credential.</w:t>
      </w:r>
    </w:p>
    <w:p>
      <w:pPr>
        <w:pStyle w:val="Heading3"/>
        <w:spacing w:after="120" w:before="240"/>
      </w:pPr>
      <w:r>
        <w:t xml:space="preserve">Final Quality Gate — checked before June 1 launch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c>
          <w:tcPr>
            <w:tcW w:type="dxa" w:w="1800"/>
            <w:shd w:fill="1F5C4C" w:val="clear"/>
            <w:tcMar>
              <w:top w:type="dxa" w:w="80"/>
              <w:left w:type="dxa" w:w="100"/>
              <w:bottom w:type="dxa" w:w="80"/>
              <w:right w:type="dxa" w:w="100"/>
            </w:tcMar>
          </w:tcPr>
          <w:p>
            <w:r>
              <w:rPr>
                <w:b/>
                <w:bCs/>
                <w:color w:val="FFFFFF"/>
                <w:sz w:val="20"/>
                <w:szCs w:val="20"/>
              </w:rPr>
              <w:t xml:space="preserve">Gate</w:t>
            </w:r>
          </w:p>
        </w:tc>
        <w:tc>
          <w:tcPr>
            <w:tcW w:type="dxa" w:w="7700"/>
            <w:shd w:fill="1F5C4C" w:val="clear"/>
            <w:tcMar>
              <w:top w:type="dxa" w:w="80"/>
              <w:left w:type="dxa" w:w="100"/>
              <w:bottom w:type="dxa" w:w="80"/>
              <w:right w:type="dxa" w:w="100"/>
            </w:tcMar>
          </w:tcPr>
          <w:p>
            <w:r>
              <w:rPr>
                <w:b/>
                <w:bCs/>
                <w:color w:val="FFFFFF"/>
                <w:sz w:val="20"/>
                <w:szCs w:val="20"/>
              </w:rPr>
              <w:t xml:space="preserve">Question</w:t>
            </w:r>
          </w:p>
        </w:tc>
      </w:tr>
      <w:tr>
        <w:tc>
          <w:tcPr>
            <w:tcW w:type="dxa" w:w="1800"/>
            <w:tcMar>
              <w:top w:type="dxa" w:w="80"/>
              <w:left w:type="dxa" w:w="100"/>
              <w:bottom w:type="dxa" w:w="80"/>
              <w:right w:type="dxa" w:w="100"/>
            </w:tcMar>
          </w:tcPr>
          <w:p>
            <w:r>
              <w:rPr>
                <w:b w:val="false"/>
                <w:bCs w:val="false"/>
                <w:sz w:val="20"/>
                <w:szCs w:val="20"/>
              </w:rPr>
              <w:t xml:space="preserve">Strategy</w:t>
            </w:r>
          </w:p>
        </w:tc>
        <w:tc>
          <w:tcPr>
            <w:tcW w:type="dxa" w:w="7700"/>
            <w:tcMar>
              <w:top w:type="dxa" w:w="80"/>
              <w:left w:type="dxa" w:w="100"/>
              <w:bottom w:type="dxa" w:w="80"/>
              <w:right w:type="dxa" w:w="100"/>
            </w:tcMar>
          </w:tcPr>
          <w:p>
            <w:r>
              <w:rPr>
                <w:b w:val="false"/>
                <w:bCs w:val="false"/>
                <w:sz w:val="20"/>
                <w:szCs w:val="20"/>
              </w:rPr>
              <w:t xml:space="preserve">Does the site support pilot recruitment + grant credibility, the two real near-term business needs?</w:t>
            </w:r>
          </w:p>
        </w:tc>
      </w:tr>
      <w:tr>
        <w:tc>
          <w:tcPr>
            <w:tcW w:type="dxa" w:w="1800"/>
            <w:tcMar>
              <w:top w:type="dxa" w:w="80"/>
              <w:left w:type="dxa" w:w="100"/>
              <w:bottom w:type="dxa" w:w="80"/>
              <w:right w:type="dxa" w:w="100"/>
            </w:tcMar>
          </w:tcPr>
          <w:p>
            <w:r>
              <w:rPr>
                <w:b w:val="false"/>
                <w:bCs w:val="false"/>
                <w:sz w:val="20"/>
                <w:szCs w:val="20"/>
              </w:rPr>
              <w:t xml:space="preserve">Customer</w:t>
            </w:r>
          </w:p>
        </w:tc>
        <w:tc>
          <w:tcPr>
            <w:tcW w:type="dxa" w:w="7700"/>
            <w:tcMar>
              <w:top w:type="dxa" w:w="80"/>
              <w:left w:type="dxa" w:w="100"/>
              <w:bottom w:type="dxa" w:w="80"/>
              <w:right w:type="dxa" w:w="100"/>
            </w:tcMar>
          </w:tcPr>
          <w:p>
            <w:r>
              <w:rPr>
                <w:b w:val="false"/>
                <w:bCs w:val="false"/>
                <w:sz w:val="20"/>
                <w:szCs w:val="20"/>
              </w:rPr>
              <w:t xml:space="preserve">Does it speak differently to the lab director vs. the accreditor/NGO reader, or collapse them into one generic pitch?</w:t>
            </w:r>
          </w:p>
        </w:tc>
      </w:tr>
      <w:tr>
        <w:tc>
          <w:tcPr>
            <w:tcW w:type="dxa" w:w="1800"/>
            <w:tcMar>
              <w:top w:type="dxa" w:w="80"/>
              <w:left w:type="dxa" w:w="100"/>
              <w:bottom w:type="dxa" w:w="80"/>
              <w:right w:type="dxa" w:w="100"/>
            </w:tcMar>
          </w:tcPr>
          <w:p>
            <w:r>
              <w:rPr>
                <w:b w:val="false"/>
                <w:bCs w:val="false"/>
                <w:sz w:val="20"/>
                <w:szCs w:val="20"/>
              </w:rPr>
              <w:t xml:space="preserve">Trust</w:t>
            </w:r>
          </w:p>
        </w:tc>
        <w:tc>
          <w:tcPr>
            <w:tcW w:type="dxa" w:w="7700"/>
            <w:tcMar>
              <w:top w:type="dxa" w:w="80"/>
              <w:left w:type="dxa" w:w="100"/>
              <w:bottom w:type="dxa" w:w="80"/>
              <w:right w:type="dxa" w:w="100"/>
            </w:tcMar>
          </w:tcPr>
          <w:p>
            <w:r>
              <w:rPr>
                <w:b w:val="false"/>
                <w:bCs w:val="false"/>
                <w:sz w:val="20"/>
                <w:szCs w:val="20"/>
              </w:rPr>
              <w:t xml:space="preserve">Is every proof point on the site real and currently true — no invented logos, testimonials, or certifications?</w:t>
            </w:r>
          </w:p>
        </w:tc>
      </w:tr>
      <w:tr>
        <w:tc>
          <w:tcPr>
            <w:tcW w:type="dxa" w:w="1800"/>
            <w:tcMar>
              <w:top w:type="dxa" w:w="80"/>
              <w:left w:type="dxa" w:w="100"/>
              <w:bottom w:type="dxa" w:w="80"/>
              <w:right w:type="dxa" w:w="100"/>
            </w:tcMar>
          </w:tcPr>
          <w:p>
            <w:r>
              <w:rPr>
                <w:b w:val="false"/>
                <w:bCs w:val="false"/>
                <w:sz w:val="20"/>
                <w:szCs w:val="20"/>
              </w:rPr>
              <w:t xml:space="preserve">Content</w:t>
            </w:r>
          </w:p>
        </w:tc>
        <w:tc>
          <w:tcPr>
            <w:tcW w:type="dxa" w:w="7700"/>
            <w:tcMar>
              <w:top w:type="dxa" w:w="80"/>
              <w:left w:type="dxa" w:w="100"/>
              <w:bottom w:type="dxa" w:w="80"/>
              <w:right w:type="dxa" w:w="100"/>
            </w:tcMar>
          </w:tcPr>
          <w:p>
            <w:r>
              <w:rPr>
                <w:b w:val="false"/>
                <w:bCs w:val="false"/>
                <w:sz w:val="20"/>
                <w:szCs w:val="20"/>
              </w:rPr>
              <w:t xml:space="preserve">Does the RAG chatbot's honest fallback behavior get shown, not just claimed?</w:t>
            </w:r>
          </w:p>
        </w:tc>
      </w:tr>
      <w:tr>
        <w:tc>
          <w:tcPr>
            <w:tcW w:type="dxa" w:w="1800"/>
            <w:tcMar>
              <w:top w:type="dxa" w:w="80"/>
              <w:left w:type="dxa" w:w="100"/>
              <w:bottom w:type="dxa" w:w="80"/>
              <w:right w:type="dxa" w:w="100"/>
            </w:tcMar>
          </w:tcPr>
          <w:p>
            <w:r>
              <w:rPr>
                <w:b w:val="false"/>
                <w:bCs w:val="false"/>
                <w:sz w:val="20"/>
                <w:szCs w:val="20"/>
              </w:rPr>
              <w:t xml:space="preserve">Conversion</w:t>
            </w:r>
          </w:p>
        </w:tc>
        <w:tc>
          <w:tcPr>
            <w:tcW w:type="dxa" w:w="7700"/>
            <w:tcMar>
              <w:top w:type="dxa" w:w="80"/>
              <w:left w:type="dxa" w:w="100"/>
              <w:bottom w:type="dxa" w:w="80"/>
              <w:right w:type="dxa" w:w="100"/>
            </w:tcMar>
          </w:tcPr>
          <w:p>
            <w:r>
              <w:rPr>
                <w:b w:val="false"/>
                <w:bCs w:val="false"/>
                <w:sz w:val="20"/>
                <w:szCs w:val="20"/>
              </w:rPr>
              <w:t xml:space="preserve">Is the pilot/demo form short enough (institution, country, role, email) that a busy lab director will actually finish it?</w:t>
            </w:r>
          </w:p>
        </w:tc>
      </w:tr>
      <w:tr>
        <w:tc>
          <w:tcPr>
            <w:tcW w:type="dxa" w:w="1800"/>
            <w:tcMar>
              <w:top w:type="dxa" w:w="80"/>
              <w:left w:type="dxa" w:w="100"/>
              <w:bottom w:type="dxa" w:w="80"/>
              <w:right w:type="dxa" w:w="100"/>
            </w:tcMar>
          </w:tcPr>
          <w:p>
            <w:r>
              <w:rPr>
                <w:b w:val="false"/>
                <w:bCs w:val="false"/>
                <w:sz w:val="20"/>
                <w:szCs w:val="20"/>
              </w:rPr>
              <w:t xml:space="preserve">Performance</w:t>
            </w:r>
          </w:p>
        </w:tc>
        <w:tc>
          <w:tcPr>
            <w:tcW w:type="dxa" w:w="7700"/>
            <w:tcMar>
              <w:top w:type="dxa" w:w="80"/>
              <w:left w:type="dxa" w:w="100"/>
              <w:bottom w:type="dxa" w:w="80"/>
              <w:right w:type="dxa" w:w="100"/>
            </w:tcMar>
          </w:tcPr>
          <w:p>
            <w:r>
              <w:rPr>
                <w:b w:val="false"/>
                <w:bCs w:val="false"/>
                <w:sz w:val="20"/>
                <w:szCs w:val="20"/>
              </w:rPr>
              <w:t xml:space="preserve">Does the site load acceptably on a mid-tier Android phone over a throttled connection?</w:t>
            </w:r>
          </w:p>
        </w:tc>
      </w:tr>
      <w:tr>
        <w:tc>
          <w:tcPr>
            <w:tcW w:type="dxa" w:w="1800"/>
            <w:tcMar>
              <w:top w:type="dxa" w:w="80"/>
              <w:left w:type="dxa" w:w="100"/>
              <w:bottom w:type="dxa" w:w="80"/>
              <w:right w:type="dxa" w:w="100"/>
            </w:tcMar>
          </w:tcPr>
          <w:p>
            <w:r>
              <w:rPr>
                <w:b w:val="false"/>
                <w:bCs w:val="false"/>
                <w:sz w:val="20"/>
                <w:szCs w:val="20"/>
              </w:rPr>
              <w:t xml:space="preserve">Technical</w:t>
            </w:r>
          </w:p>
        </w:tc>
        <w:tc>
          <w:tcPr>
            <w:tcW w:type="dxa" w:w="7700"/>
            <w:tcMar>
              <w:top w:type="dxa" w:w="80"/>
              <w:left w:type="dxa" w:w="100"/>
              <w:bottom w:type="dxa" w:w="80"/>
              <w:right w:type="dxa" w:w="100"/>
            </w:tcMar>
          </w:tcPr>
          <w:p>
            <w:r>
              <w:rPr>
                <w:b w:val="false"/>
                <w:bCs w:val="false"/>
                <w:sz w:val="20"/>
                <w:szCs w:val="20"/>
              </w:rPr>
              <w:t xml:space="preserve">Is capability language (implemented vs. planned) verified against the actual MVP scope before publishing?</w:t>
            </w:r>
          </w:p>
        </w:tc>
      </w:tr>
    </w:tbl>
    <w:p>
      <w:pPr>
        <w:pStyle w:val="Heading1"/>
        <w:spacing w:after="200" w:before="480"/>
      </w:pPr>
      <w:r>
        <w:t xml:space="preserve">21. Build Roadmap</w:t>
      </w:r>
    </w:p>
    <w:p>
      <w:pPr>
        <w:spacing w:after="160"/>
      </w:pPr>
      <w:r>
        <w:rPr>
          <w:b/>
          <w:bCs/>
          <w:color w:val="1F5C4C"/>
          <w:sz w:val="18"/>
          <w:szCs w:val="18"/>
        </w:rPr>
        <w:t xml:space="preserve"> [VERIFIED] </w:t>
      </w:r>
      <w:r>
        <w:t xml:space="preserve">MVP code freeze: May 15, 2026. Website live target: June 1, 2026. Post-MVP v1.0 feature phase: June–August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shd w:fill="1F5C4C" w:val="clear"/>
            <w:tcMar>
              <w:top w:type="dxa" w:w="80"/>
              <w:left w:type="dxa" w:w="100"/>
              <w:bottom w:type="dxa" w:w="80"/>
              <w:right w:type="dxa" w:w="100"/>
            </w:tcMar>
          </w:tcPr>
          <w:p>
            <w:r>
              <w:rPr>
                <w:b/>
                <w:bCs/>
                <w:color w:val="FFFFFF"/>
                <w:sz w:val="20"/>
                <w:szCs w:val="20"/>
              </w:rPr>
              <w:t xml:space="preserve">Window</w:t>
            </w:r>
          </w:p>
        </w:tc>
        <w:tc>
          <w:tcPr>
            <w:tcW w:type="dxa" w:w="7500"/>
            <w:shd w:fill="1F5C4C" w:val="clear"/>
            <w:tcMar>
              <w:top w:type="dxa" w:w="80"/>
              <w:left w:type="dxa" w:w="100"/>
              <w:bottom w:type="dxa" w:w="80"/>
              <w:right w:type="dxa" w:w="100"/>
            </w:tcMar>
          </w:tcPr>
          <w:p>
            <w:r>
              <w:rPr>
                <w:b/>
                <w:bCs/>
                <w:color w:val="FFFFFF"/>
                <w:sz w:val="20"/>
                <w:szCs w:val="20"/>
              </w:rPr>
              <w:t xml:space="preserve">Work</w:t>
            </w:r>
          </w:p>
        </w:tc>
      </w:tr>
      <w:tr>
        <w:tc>
          <w:tcPr>
            <w:tcW w:type="dxa" w:w="2000"/>
            <w:tcMar>
              <w:top w:type="dxa" w:w="80"/>
              <w:left w:type="dxa" w:w="100"/>
              <w:bottom w:type="dxa" w:w="80"/>
              <w:right w:type="dxa" w:w="100"/>
            </w:tcMar>
          </w:tcPr>
          <w:p>
            <w:r>
              <w:rPr>
                <w:b w:val="false"/>
                <w:bCs w:val="false"/>
                <w:sz w:val="20"/>
                <w:szCs w:val="20"/>
              </w:rPr>
              <w:t xml:space="preserve">Now – May 15</w:t>
            </w:r>
          </w:p>
        </w:tc>
        <w:tc>
          <w:tcPr>
            <w:tcW w:type="dxa" w:w="7500"/>
            <w:tcMar>
              <w:top w:type="dxa" w:w="80"/>
              <w:left w:type="dxa" w:w="100"/>
              <w:bottom w:type="dxa" w:w="80"/>
              <w:right w:type="dxa" w:w="100"/>
            </w:tcMar>
          </w:tcPr>
          <w:p>
            <w:r>
              <w:rPr>
                <w:b w:val="false"/>
                <w:bCs w:val="false"/>
                <w:sz w:val="20"/>
                <w:szCs w:val="20"/>
              </w:rPr>
              <w:t xml:space="preserve">Finalize IA (Section 10), write homepage/Features/Pricing/About copy in parallel with MVP build, source or mock one real chatbot Q&amp;A screenshot</w:t>
            </w:r>
          </w:p>
        </w:tc>
      </w:tr>
      <w:tr>
        <w:tc>
          <w:tcPr>
            <w:tcW w:type="dxa" w:w="2000"/>
            <w:tcMar>
              <w:top w:type="dxa" w:w="80"/>
              <w:left w:type="dxa" w:w="100"/>
              <w:bottom w:type="dxa" w:w="80"/>
              <w:right w:type="dxa" w:w="100"/>
            </w:tcMar>
          </w:tcPr>
          <w:p>
            <w:r>
              <w:rPr>
                <w:b w:val="false"/>
                <w:bCs w:val="false"/>
                <w:sz w:val="20"/>
                <w:szCs w:val="20"/>
              </w:rPr>
              <w:t xml:space="preserve">May 15 – June 1</w:t>
            </w:r>
          </w:p>
        </w:tc>
        <w:tc>
          <w:tcPr>
            <w:tcW w:type="dxa" w:w="7500"/>
            <w:tcMar>
              <w:top w:type="dxa" w:w="80"/>
              <w:left w:type="dxa" w:w="100"/>
              <w:bottom w:type="dxa" w:w="80"/>
              <w:right w:type="dxa" w:w="100"/>
            </w:tcMar>
          </w:tcPr>
          <w:p>
            <w:r>
              <w:rPr>
                <w:b w:val="false"/>
                <w:bCs w:val="false"/>
                <w:sz w:val="20"/>
                <w:szCs w:val="20"/>
              </w:rPr>
              <w:t xml:space="preserve">Build the 5-page site, wire demo/pilot form + Calendly, run the Final Quality Gate (Section 20), QA on mobile/low-bandwidth</w:t>
            </w:r>
          </w:p>
        </w:tc>
      </w:tr>
      <w:tr>
        <w:tc>
          <w:tcPr>
            <w:tcW w:type="dxa" w:w="2000"/>
            <w:tcMar>
              <w:top w:type="dxa" w:w="80"/>
              <w:left w:type="dxa" w:w="100"/>
              <w:bottom w:type="dxa" w:w="80"/>
              <w:right w:type="dxa" w:w="100"/>
            </w:tcMar>
          </w:tcPr>
          <w:p>
            <w:r>
              <w:rPr>
                <w:b w:val="false"/>
                <w:bCs w:val="false"/>
                <w:sz w:val="20"/>
                <w:szCs w:val="20"/>
              </w:rPr>
              <w:t xml:space="preserve">June 1 – August</w:t>
            </w:r>
          </w:p>
        </w:tc>
        <w:tc>
          <w:tcPr>
            <w:tcW w:type="dxa" w:w="7500"/>
            <w:tcMar>
              <w:top w:type="dxa" w:w="80"/>
              <w:left w:type="dxa" w:w="100"/>
              <w:bottom w:type="dxa" w:w="80"/>
              <w:right w:type="dxa" w:w="100"/>
            </w:tcMar>
          </w:tcPr>
          <w:p>
            <w:r>
              <w:rPr>
                <w:b w:val="false"/>
                <w:bCs w:val="false"/>
                <w:sz w:val="20"/>
                <w:szCs w:val="20"/>
              </w:rPr>
              <w:t xml:space="preserve">Launch; begin Tier 3 content cadence (blog, LinkedIn) only once the site's IA can support it without becoming stale</w:t>
            </w:r>
          </w:p>
        </w:tc>
      </w:tr>
      <w:tr>
        <w:tc>
          <w:tcPr>
            <w:tcW w:type="dxa" w:w="2000"/>
            <w:tcMar>
              <w:top w:type="dxa" w:w="80"/>
              <w:left w:type="dxa" w:w="100"/>
              <w:bottom w:type="dxa" w:w="80"/>
              <w:right w:type="dxa" w:w="100"/>
            </w:tcMar>
          </w:tcPr>
          <w:p>
            <w:r>
              <w:rPr>
                <w:b w:val="false"/>
                <w:bCs w:val="false"/>
                <w:sz w:val="20"/>
                <w:szCs w:val="20"/>
              </w:rPr>
              <w:t xml:space="preserve">Phase 3 (v1.0) alignment</w:t>
            </w:r>
          </w:p>
        </w:tc>
        <w:tc>
          <w:tcPr>
            <w:tcW w:type="dxa" w:w="7500"/>
            <w:tcMar>
              <w:top w:type="dxa" w:w="80"/>
              <w:left w:type="dxa" w:w="100"/>
              <w:bottom w:type="dxa" w:w="80"/>
              <w:right w:type="dxa" w:w="100"/>
            </w:tcMar>
          </w:tcPr>
          <w:p>
            <w:r>
              <w:rPr>
                <w:b w:val="false"/>
                <w:bCs w:val="false"/>
                <w:sz w:val="20"/>
                <w:szCs w:val="20"/>
              </w:rPr>
              <w:t xml:space="preserve">When CAPA tracker, equipment log, EQA tracker, and multi-lab support ship, revisit Sections 10 and 12 to add a Solutions/Industries page and expand the Features page — do not add these pages before the features exist</w:t>
            </w:r>
          </w:p>
        </w:tc>
      </w:tr>
    </w:tbl>
    <w:p>
      <w:pPr>
        <w:pStyle w:val="Heading1"/>
        <w:spacing w:after="200" w:before="480"/>
      </w:pPr>
      <w:r>
        <w:t xml:space="preserve">22. Final Recommendation (Part XLIX, Item 10)</w:t>
      </w:r>
    </w:p>
    <w:p>
      <w:pPr>
        <w:pBdr>
          <w:left w:val="single" w:color="1F5C4C" w:sz="12" w:space="8"/>
        </w:pBdr>
        <w:spacing w:after="200" w:before="100"/>
        <w:ind w:left="360"/>
      </w:pPr>
      <w:r>
        <w:rPr>
          <w:i/>
          <w:iCs/>
        </w:rPr>
        <w:t xml:space="preserve">LAUNCH AFTER FIXES — QualiTracker's substance is genuinely ahead of most pre-revenue ventures at this stage. The website work between now and June 1 should go almost entirely into evidence discipline (Section 18), the honest chatbot demo (Section 12), and a short, real pilot-application form (Section 15) — not into expanding scope, adding pages, or manufacturing proof that doesn't exist yet. A smaller, honest, fast website that gets 3–5 real pilot labs signed up will do more for QualiTracker in 2026 than a larger, more polished one that overstates where the product actually is.</w:t>
      </w:r>
    </w:p>
    <w:p>
      <w:pPr>
        <w:spacing w:before="300"/>
      </w:pPr>
    </w:p>
    <w:p>
      <w:pPr>
        <w:spacing w:after="160"/>
      </w:pPr>
      <w:r>
        <w:rPr>
          <w:i/>
          <w:iCs/>
          <w:color w:val="5B6B66"/>
          <w:sz w:val="18"/>
          <w:szCs w:val="18"/>
        </w:rPr>
        <w:t xml:space="preserve">Prepared using the CREOVA Website Intelligence &amp; Conversion Operating System v1.0 — Parts I–XLIX applied to the QualiTracker Master Execution Plan (May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ED9" w:sz="6" w:space="4"/>
      </w:pBdr>
      <w:spacing w:after="200" w:before="480"/>
    </w:pPr>
    <w:rPr>
      <w:b/>
      <w:bCs/>
      <w:color w:val="1F5C4C"/>
      <w:sz w:val="32"/>
      <w:szCs w:val="32"/>
    </w:rPr>
  </w:style>
  <w:style w:type="paragraph" w:styleId="Heading2">
    <w:name w:val="Heading 2"/>
    <w:basedOn w:val="Normal"/>
    <w:next w:val="Normal"/>
    <w:qFormat/>
    <w:rPr>
      <w:b/>
      <w:bCs/>
      <w:color w:val="2E2E2E"/>
      <w:sz w:val="26"/>
      <w:szCs w:val="26"/>
    </w:rPr>
  </w:style>
  <w:style w:type="paragraph" w:styleId="Heading3">
    <w:name w:val="Heading 3"/>
    <w:basedOn w:val="Normal"/>
    <w:next w:val="Normal"/>
    <w:qFormat/>
    <w:rPr>
      <w:b/>
      <w:bCs/>
      <w:color w:val="1F5C4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2026-08-22T01:59:50.767Z</dcterms:created>
  <dcterms:modified xsi:type="dcterms:W3CDTF">2026-08-22T01:59:50.767Z</dcterms:modified>
</cp:coreProperties>
</file>

<file path=docProps/custom.xml><?xml version="1.0" encoding="utf-8"?>
<Properties xmlns="http://schemas.openxmlformats.org/officeDocument/2006/custom-properties" xmlns:vt="http://schemas.openxmlformats.org/officeDocument/2006/docPropsVTypes"/>
</file>