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Explore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 Guide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Data Portal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PUBLIC GARDENS AS SENTINELS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AGAINST INVASIVE PLANTS.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Using botanic garden and arboreta expertise to help prevent problematic plants from becoming invasive across North America</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Welcome to the PGSIP Database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 Gardens as Sentinels against Invasive Plants Database is a controlled access database for public gardens in North America to share information about plant taxa that they are observing escaping from cultivation on site. The goal of maintaining the database is to collect information about plant species escaping cultivation that are not widely known to be invasive and/or are not widely available in trade. This compiled garden data can be used to inform policy decisions at public gardens, to improve plant risk assessments, and to help guide propagation research and development decisions away from taxa showing strong invasive potential.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Open Access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 about the project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the public data portal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to PGSIP newsletter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 Interested Public Gardens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a new log-in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with an existing account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project guidelines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database user-guide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terms and conditions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Upcoming webinars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Participants of a garden summit at The Morton Arboretum (2016) gather around a specimen tree that has been escaping from cultivation. This summit paved the way for the initiative Public Gardens as Sentinels against Invasive Plants, which began in 2018.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BRAHMS Online Copyright © 1985 - 2021 Department of Plant Sciences, University of Oxford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data-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