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57"/>
          <w:sz w:val="52"/>
        </w:rPr>
        <w:t>CrewCast Document Template</w:t>
      </w:r>
    </w:p>
    <w:p>
      <w:r>
        <w:rPr>
          <w:color w:val="FFC107"/>
          <w:sz w:val="28"/>
        </w:rPr>
        <w:t>Forecast your crews. Build with confidence.</w:t>
      </w:r>
    </w:p>
    <w:p>
      <w:r>
        <w:t>────────────────────────────────────────────</w:t>
      </w:r>
    </w:p>
    <w:p>
      <w:r>
        <w:rPr>
          <w:sz w:val="24"/>
        </w:rPr>
        <w:t>This document follows the CrewCast brand identity guidelines. Use Construction Blue (#1F3B57) for headings and Electric Amber (#FFC107) for highlights.</w:t>
        <w:br/>
        <w:br/>
        <w:t>Formatting Guidelines:</w:t>
        <w:br/>
        <w:t>• Use Benton Sans Bold for headings.</w:t>
        <w:br/>
        <w:t>• Use Benton Sans Regular for body text.</w:t>
        <w:br/>
        <w:t>• Maintain clean margins and consistent spacing.</w:t>
        <w:br/>
        <w:t>• Include the CrewCast logo in the header of all pages.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1F3B57"/>
        <w:sz w:val="20"/>
      </w:rPr>
      <w:t>CrewCast | Forecast your crews. Build with confidence.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4592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_logo_for_a_company_named_CrewCast_is_presented_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