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Explainable Research Charts — IM/2021/049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Visual figures for Chapter 5 / viva. Use these to explain phone distribution, ABSA results, feature scores, and ranking behaviour to your supervisor.</w:t>
      </w:r>
    </w:p>
    <w:p/>
    <w:p>
      <w:r>
        <w:rPr>
          <w:rFonts w:ascii="Times New Roman" w:hAnsi="Times New Roman"/>
          <w:b/>
          <w:sz w:val="22"/>
        </w:rPr>
        <w:t>Figure A — Phone distribution by brand. Shows the corpus is Apple-heavy; mention this as a limitation and coverage fact.</w:t>
      </w:r>
    </w:p>
    <w:p>
      <w:r>
        <w:drawing>
          <wp:inline xmlns:a="http://schemas.openxmlformats.org/drawingml/2006/main" xmlns:pic="http://schemas.openxmlformats.org/drawingml/2006/picture">
            <wp:extent cx="5669280" cy="254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one_brand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data/exports/analysis/charts/01_phone_brand_distribution.png</w:t>
      </w:r>
    </w:p>
    <w:p/>
    <w:p>
      <w:r>
        <w:rPr>
          <w:rFonts w:ascii="Times New Roman" w:hAnsi="Times New Roman"/>
          <w:b/>
          <w:sz w:val="22"/>
        </w:rPr>
        <w:t>Figure B — Reviews per phone. Mean ≈ 15 kept reviews; not 200/phone — report honestly.</w:t>
      </w:r>
    </w:p>
    <w:p>
      <w:r>
        <w:drawing>
          <wp:inline xmlns:a="http://schemas.openxmlformats.org/drawingml/2006/main" xmlns:pic="http://schemas.openxmlformats.org/drawingml/2006/picture">
            <wp:extent cx="5669280" cy="310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iews_per_phone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data/exports/analysis/charts/02_reviews_per_phone_hist.png</w:t>
      </w:r>
    </w:p>
    <w:p/>
    <w:p>
      <w:r>
        <w:rPr>
          <w:rFonts w:ascii="Times New Roman" w:hAnsi="Times New Roman"/>
          <w:b/>
          <w:sz w:val="22"/>
        </w:rPr>
        <w:t>Figure C — Aspect &amp; sentiment distribution. Battery is discussed most; all six features appear.</w:t>
      </w:r>
    </w:p>
    <w:p>
      <w:r>
        <w:drawing>
          <wp:inline xmlns:a="http://schemas.openxmlformats.org/drawingml/2006/main" xmlns:pic="http://schemas.openxmlformats.org/drawingml/2006/picture">
            <wp:extent cx="5669280" cy="2409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pect_sentimen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data/exports/analysis/charts/03_aspect_sentiment_distribution.png</w:t>
      </w:r>
    </w:p>
    <w:p/>
    <w:p>
      <w:r>
        <w:rPr>
          <w:rFonts w:ascii="Times New Roman" w:hAnsi="Times New Roman"/>
          <w:b/>
          <w:sz w:val="22"/>
        </w:rPr>
        <w:t>Figure D — Overall sentiment mix across 13,914 aspect mentions.</w:t>
      </w:r>
    </w:p>
    <w:p>
      <w:r>
        <w:drawing>
          <wp:inline xmlns:a="http://schemas.openxmlformats.org/drawingml/2006/main" xmlns:pic="http://schemas.openxmlformats.org/drawingml/2006/picture">
            <wp:extent cx="5669280" cy="6297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verall_sentiment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data/exports/analysis/charts/04_overall_sentiment_pie.png</w:t>
      </w:r>
    </w:p>
    <w:p/>
    <w:p>
      <w:r>
        <w:rPr>
          <w:rFonts w:ascii="Times New Roman" w:hAnsi="Times New Roman"/>
          <w:b/>
          <w:sz w:val="22"/>
        </w:rPr>
        <w:t>Figure E — Explainable feature scores for two phones. Faded bars = lower confidence (fewer mentions).</w:t>
      </w:r>
    </w:p>
    <w:p>
      <w:r>
        <w:drawing>
          <wp:inline xmlns:a="http://schemas.openxmlformats.org/drawingml/2006/main" xmlns:pic="http://schemas.openxmlformats.org/drawingml/2006/picture">
            <wp:extent cx="5669280" cy="2297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mple_phone_feature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data/exports/analysis/charts/05_sample_phone_feature_scores.png</w:t>
      </w:r>
    </w:p>
    <w:p/>
    <w:p>
      <w:r>
        <w:rPr>
          <w:rFonts w:ascii="Times New Roman" w:hAnsi="Times New Roman"/>
          <w:b/>
          <w:sz w:val="22"/>
        </w:rPr>
        <w:t>Figure F — ABSA vs Amazon stars by rating bucket (sanity check, not gold accuracy).</w:t>
      </w:r>
    </w:p>
    <w:p>
      <w:r>
        <w:drawing>
          <wp:inline xmlns:a="http://schemas.openxmlformats.org/drawingml/2006/main" xmlns:pic="http://schemas.openxmlformats.org/drawingml/2006/picture">
            <wp:extent cx="5669280" cy="3165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r_text_agreement_by_r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data/exports/analysis/charts/06_star_text_agreement_by_rating.png</w:t>
      </w:r>
    </w:p>
    <w:p/>
    <w:p>
      <w:r>
        <w:rPr>
          <w:rFonts w:ascii="Times New Roman" w:hAnsi="Times New Roman"/>
          <w:b/>
          <w:sz w:val="22"/>
        </w:rPr>
        <w:t>Figure G — Changing user priorities changes the Top-1 recommendation.</w:t>
      </w:r>
    </w:p>
    <w:p>
      <w:r>
        <w:drawing>
          <wp:inline xmlns:a="http://schemas.openxmlformats.org/drawingml/2006/main" xmlns:pic="http://schemas.openxmlformats.org/drawingml/2006/picture">
            <wp:extent cx="5669280" cy="29211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nking_priority_to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data/exports/analysis/charts/07_ranking_priority_top1.png</w:t>
      </w:r>
    </w:p>
    <w:p/>
    <w:p>
      <w:r>
        <w:rPr>
          <w:rFonts w:ascii="Times New Roman" w:hAnsi="Times New Roman"/>
          <w:b/>
          <w:sz w:val="22"/>
        </w:rPr>
        <w:t>Figure H — Proposed method vs Amazon star baseline Top-5 (different lists).</w:t>
      </w:r>
    </w:p>
    <w:p>
      <w:r>
        <w:drawing>
          <wp:inline xmlns:a="http://schemas.openxmlformats.org/drawingml/2006/main" xmlns:pic="http://schemas.openxmlformats.org/drawingml/2006/picture">
            <wp:extent cx="5669280" cy="2802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posed_vs_baseline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sz w:val="18"/>
        </w:rPr>
        <w:t>File: data/exports/analysis/charts/08_proposed_vs_baseline_table.png</w:t>
      </w:r>
    </w:p>
    <w:p>
      <w:r>
        <w:rPr>
          <w:rFonts w:ascii="Times New Roman" w:hAnsi="Times New Roman"/>
          <w:b/>
          <w:sz w:val="24"/>
        </w:rPr>
        <w:t>Viva tip</w:t>
      </w:r>
    </w:p>
    <w:p>
      <w:r>
        <w:rPr>
          <w:rFonts w:ascii="Times New Roman" w:hAnsi="Times New Roman"/>
          <w:b w:val="0"/>
          <w:sz w:val="22"/>
        </w:rPr>
        <w:t>Open this document (or the PNG folder) when asked: “Show me the data distribution”, “How do you know ABSA works?”, “Do user priorities matter?”, or “How is this better than star ratings?”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