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IEEE33节点微电网电压控制仿真实验报告</w:t>
      </w:r>
    </w:p>
    <w:p/>
    <w:p>
      <w:pPr>
        <w:pStyle w:val="Heading1"/>
      </w:pPr>
      <w:r>
        <w:t>一、实验参数配置</w:t>
      </w:r>
    </w:p>
    <w:p>
      <w:pPr>
        <w:pStyle w:val="Heading2"/>
      </w:pPr>
      <w:r>
        <w:t>1.1 电网模型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电网模型</w:t>
            </w:r>
          </w:p>
        </w:tc>
        <w:tc>
          <w:tcPr>
            <w:tcW w:type="dxa" w:w="4320"/>
          </w:tcPr>
          <w:p>
            <w:r>
              <w:t>IEEE 33节点辐射状配电网</w:t>
            </w:r>
          </w:p>
        </w:tc>
      </w:tr>
      <w:tr>
        <w:tc>
          <w:tcPr>
            <w:tcW w:type="dxa" w:w="4320"/>
          </w:tcPr>
          <w:p>
            <w:r>
              <w:t>基准容量</w:t>
            </w:r>
          </w:p>
        </w:tc>
        <w:tc>
          <w:tcPr>
            <w:tcW w:type="dxa" w:w="4320"/>
          </w:tcPr>
          <w:p>
            <w:r>
              <w:t>10 MVA</w:t>
            </w:r>
          </w:p>
        </w:tc>
      </w:tr>
      <w:tr>
        <w:tc>
          <w:tcPr>
            <w:tcW w:type="dxa" w:w="4320"/>
          </w:tcPr>
          <w:p>
            <w:r>
              <w:t>基准电压</w:t>
            </w:r>
          </w:p>
        </w:tc>
        <w:tc>
          <w:tcPr>
            <w:tcW w:type="dxa" w:w="4320"/>
          </w:tcPr>
          <w:p>
            <w:r>
              <w:t>12.66 kV</w:t>
            </w:r>
          </w:p>
        </w:tc>
      </w:tr>
      <w:tr>
        <w:tc>
          <w:tcPr>
            <w:tcW w:type="dxa" w:w="4320"/>
          </w:tcPr>
          <w:p>
            <w:r>
              <w:t>阻抗基准</w:t>
            </w:r>
          </w:p>
        </w:tc>
        <w:tc>
          <w:tcPr>
            <w:tcW w:type="dxa" w:w="4320"/>
          </w:tcPr>
          <w:p>
            <w:r>
              <w:t>Z_base = 12.66²/10 = 16.0276 Ω</w:t>
            </w:r>
          </w:p>
        </w:tc>
      </w:tr>
      <w:tr>
        <w:tc>
          <w:tcPr>
            <w:tcW w:type="dxa" w:w="4320"/>
          </w:tcPr>
          <w:p>
            <w:r>
              <w:t>平衡节点</w:t>
            </w:r>
          </w:p>
        </w:tc>
        <w:tc>
          <w:tcPr>
            <w:tcW w:type="dxa" w:w="4320"/>
          </w:tcPr>
          <w:p>
            <w:r>
              <w:t>Bus 1 (V/f控制)</w:t>
            </w:r>
          </w:p>
        </w:tc>
      </w:tr>
      <w:tr>
        <w:tc>
          <w:tcPr>
            <w:tcW w:type="dxa" w:w="4320"/>
          </w:tcPr>
          <w:p>
            <w:r>
              <w:t>潮流算法</w:t>
            </w:r>
          </w:p>
        </w:tc>
        <w:tc>
          <w:tcPr>
            <w:tcW w:type="dxa" w:w="4320"/>
          </w:tcPr>
          <w:p>
            <w:r>
              <w:t>牛顿-拉夫逊法 (tolerance=1e-6)</w:t>
            </w:r>
          </w:p>
        </w:tc>
      </w:tr>
      <w:tr>
        <w:tc>
          <w:tcPr>
            <w:tcW w:type="dxa" w:w="4320"/>
          </w:tcPr>
          <w:p>
            <w:r>
              <w:t>负荷缩放</w:t>
            </w:r>
          </w:p>
        </w:tc>
        <w:tc>
          <w:tcPr>
            <w:tcW w:type="dxa" w:w="4320"/>
          </w:tcPr>
          <w:p>
            <w:r>
              <w:t>×1.0 (原始IEEE33负荷)</w:t>
            </w:r>
          </w:p>
        </w:tc>
      </w:tr>
      <w:tr>
        <w:tc>
          <w:tcPr>
            <w:tcW w:type="dxa" w:w="4320"/>
          </w:tcPr>
          <w:p>
            <w:r>
              <w:t>总基础负荷</w:t>
            </w:r>
          </w:p>
        </w:tc>
        <w:tc>
          <w:tcPr>
            <w:tcW w:type="dxa" w:w="4320"/>
          </w:tcPr>
          <w:p>
            <w:r>
              <w:t>P=3.715 MW, Q=2.300 Mvar</w:t>
            </w:r>
          </w:p>
        </w:tc>
      </w:tr>
    </w:tbl>
    <w:p>
      <w:pPr>
        <w:pStyle w:val="Heading2"/>
      </w:pPr>
      <w:r>
        <w:t>1.2 分布式电源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光伏接入节点</w:t>
            </w:r>
          </w:p>
        </w:tc>
        <w:tc>
          <w:tcPr>
            <w:tcW w:type="dxa" w:w="4320"/>
          </w:tcPr>
          <w:p>
            <w:r>
              <w:t>10, 18, 22, 24, 28, 33 (共6台)</w:t>
            </w:r>
          </w:p>
        </w:tc>
      </w:tr>
      <w:tr>
        <w:tc>
          <w:tcPr>
            <w:tcW w:type="dxa" w:w="4320"/>
          </w:tcPr>
          <w:p>
            <w:r>
              <w:t>单台额定功率</w:t>
            </w:r>
          </w:p>
        </w:tc>
        <w:tc>
          <w:tcPr>
            <w:tcW w:type="dxa" w:w="4320"/>
          </w:tcPr>
          <w:p>
            <w:r>
              <w:t>0.6 MW</w:t>
            </w:r>
          </w:p>
        </w:tc>
      </w:tr>
      <w:tr>
        <w:tc>
          <w:tcPr>
            <w:tcW w:type="dxa" w:w="4320"/>
          </w:tcPr>
          <w:p>
            <w:r>
              <w:t>总PV装机</w:t>
            </w:r>
          </w:p>
        </w:tc>
        <w:tc>
          <w:tcPr>
            <w:tcW w:type="dxa" w:w="4320"/>
          </w:tcPr>
          <w:p>
            <w:r>
              <w:t>3.6 MW</w:t>
            </w:r>
          </w:p>
        </w:tc>
      </w:tr>
      <w:tr>
        <w:tc>
          <w:tcPr>
            <w:tcW w:type="dxa" w:w="4320"/>
          </w:tcPr>
          <w:p>
            <w:r>
              <w:t>逆变器容配比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逆变器额定容量</w:t>
            </w:r>
          </w:p>
        </w:tc>
        <w:tc>
          <w:tcPr>
            <w:tcW w:type="dxa" w:w="4320"/>
          </w:tcPr>
          <w:p>
            <w:r>
              <w:t>0.69 MVA (0.6×1.15)</w:t>
            </w:r>
          </w:p>
        </w:tc>
      </w:tr>
      <w:tr>
        <w:tc>
          <w:tcPr>
            <w:tcW w:type="dxa" w:w="4320"/>
          </w:tcPr>
          <w:p>
            <w:r>
              <w:t>功率因数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动态Q限制</w:t>
            </w:r>
          </w:p>
        </w:tc>
        <w:tc>
          <w:tcPr>
            <w:tcW w:type="dxa" w:w="4320"/>
          </w:tcPr>
          <w:p>
            <w:r>
              <w:t>Q_max = √(S_inv² - P²)</w:t>
            </w:r>
          </w:p>
        </w:tc>
      </w:tr>
      <w:tr>
        <w:tc>
          <w:tcPr>
            <w:tcW w:type="dxa" w:w="4320"/>
          </w:tcPr>
          <w:p>
            <w:r>
              <w:t>柴油发电机</w:t>
            </w:r>
          </w:p>
        </w:tc>
        <w:tc>
          <w:tcPr>
            <w:tcW w:type="dxa" w:w="4320"/>
          </w:tcPr>
          <w:p>
            <w:r>
              <w:t>1.8 MW (Bus 1, R=0.01pu, X=0.1pu)</w:t>
            </w:r>
          </w:p>
        </w:tc>
      </w:tr>
      <w:tr>
        <w:tc>
          <w:tcPr>
            <w:tcW w:type="dxa" w:w="4320"/>
          </w:tcPr>
          <w:p>
            <w:r>
              <w:t>储能系统</w:t>
            </w:r>
          </w:p>
        </w:tc>
        <w:tc>
          <w:tcPr>
            <w:tcW w:type="dxa" w:w="4320"/>
          </w:tcPr>
          <w:p>
            <w:r>
              <w:t>1.8 MW / 7.2 MWh (Bus 1)</w:t>
            </w:r>
          </w:p>
        </w:tc>
      </w:tr>
      <w:tr>
        <w:tc>
          <w:tcPr>
            <w:tcW w:type="dxa" w:w="4320"/>
          </w:tcPr>
          <w:p>
            <w:r>
              <w:t>储能SOC范围</w:t>
            </w:r>
          </w:p>
        </w:tc>
        <w:tc>
          <w:tcPr>
            <w:tcW w:type="dxa" w:w="4320"/>
          </w:tcPr>
          <w:p>
            <w:r>
              <w:t>20% ~ 90%, 初始60%</w:t>
            </w:r>
          </w:p>
        </w:tc>
      </w:tr>
      <w:tr>
        <w:tc>
          <w:tcPr>
            <w:tcW w:type="dxa" w:w="4320"/>
          </w:tcPr>
          <w:p>
            <w:r>
              <w:t>储能效率</w:t>
            </w:r>
          </w:p>
        </w:tc>
        <w:tc>
          <w:tcPr>
            <w:tcW w:type="dxa" w:w="4320"/>
          </w:tcPr>
          <w:p>
            <w:r>
              <w:t>94%</w:t>
            </w:r>
          </w:p>
        </w:tc>
      </w:tr>
      <w:tr>
        <w:tc>
          <w:tcPr>
            <w:tcW w:type="dxa" w:w="4320"/>
          </w:tcPr>
          <w:p>
            <w:r>
              <w:t>储能策略</w:t>
            </w:r>
          </w:p>
        </w:tc>
        <w:tc>
          <w:tcPr>
            <w:tcW w:type="dxa" w:w="4320"/>
          </w:tcPr>
          <w:p>
            <w:r>
              <w:t>白天PV出力时充电, 夜间放电</w:t>
            </w:r>
          </w:p>
        </w:tc>
      </w:tr>
    </w:tbl>
    <w:p>
      <w:pPr>
        <w:pStyle w:val="Heading2"/>
      </w:pPr>
      <w:r>
        <w:t>1.3 动态负荷模型</w:t>
      </w:r>
    </w:p>
    <w:p>
      <w:r>
        <w:t>24小时动态负荷采用分时段随机生成，各节点叠加±3%高斯噪声。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负荷系数范围</w:t>
            </w:r>
          </w:p>
        </w:tc>
      </w:tr>
      <w:tr>
        <w:tc>
          <w:tcPr>
            <w:tcW w:type="dxa" w:w="2880"/>
          </w:tcPr>
          <w:p>
            <w:r>
              <w:t>低谷段</w:t>
            </w:r>
          </w:p>
        </w:tc>
        <w:tc>
          <w:tcPr>
            <w:tcW w:type="dxa" w:w="2880"/>
          </w:tcPr>
          <w:p>
            <w:r>
              <w:t>0:00-6:00</w:t>
            </w:r>
          </w:p>
        </w:tc>
        <w:tc>
          <w:tcPr>
            <w:tcW w:type="dxa" w:w="2880"/>
          </w:tcPr>
          <w:p>
            <w:r>
              <w:t>0.30 ~ 0.50</w:t>
            </w:r>
          </w:p>
        </w:tc>
      </w:tr>
      <w:tr>
        <w:tc>
          <w:tcPr>
            <w:tcW w:type="dxa" w:w="2880"/>
          </w:tcPr>
          <w:p>
            <w:r>
              <w:t>早峰段</w:t>
            </w:r>
          </w:p>
        </w:tc>
        <w:tc>
          <w:tcPr>
            <w:tcW w:type="dxa" w:w="2880"/>
          </w:tcPr>
          <w:p>
            <w:r>
              <w:t>7:00-9:00</w:t>
            </w:r>
          </w:p>
        </w:tc>
        <w:tc>
          <w:tcPr>
            <w:tcW w:type="dxa" w:w="2880"/>
          </w:tcPr>
          <w:p>
            <w:r>
              <w:t>0.80 ~ 0.95</w:t>
            </w:r>
          </w:p>
        </w:tc>
      </w:tr>
      <w:tr>
        <w:tc>
          <w:tcPr>
            <w:tcW w:type="dxa" w:w="2880"/>
          </w:tcPr>
          <w:p>
            <w:r>
              <w:t>平  段</w:t>
            </w:r>
          </w:p>
        </w:tc>
        <w:tc>
          <w:tcPr>
            <w:tcW w:type="dxa" w:w="2880"/>
          </w:tcPr>
          <w:p>
            <w:r>
              <w:t>10:00-17:00</w:t>
            </w:r>
          </w:p>
        </w:tc>
        <w:tc>
          <w:tcPr>
            <w:tcW w:type="dxa" w:w="2880"/>
          </w:tcPr>
          <w:p>
            <w:r>
              <w:t>0.70 ~ 0.85</w:t>
            </w:r>
          </w:p>
        </w:tc>
      </w:tr>
      <w:tr>
        <w:tc>
          <w:tcPr>
            <w:tcW w:type="dxa" w:w="2880"/>
          </w:tcPr>
          <w:p>
            <w:r>
              <w:t>晚峰段</w:t>
            </w:r>
          </w:p>
        </w:tc>
        <w:tc>
          <w:tcPr>
            <w:tcW w:type="dxa" w:w="2880"/>
          </w:tcPr>
          <w:p>
            <w:r>
              <w:t>18:00-22:00</w:t>
            </w:r>
          </w:p>
        </w:tc>
        <w:tc>
          <w:tcPr>
            <w:tcW w:type="dxa" w:w="2880"/>
          </w:tcPr>
          <w:p>
            <w:r>
              <w:t>0.95 ~ 1.10</w:t>
            </w:r>
          </w:p>
        </w:tc>
      </w:tr>
      <w:tr>
        <w:tc>
          <w:tcPr>
            <w:tcW w:type="dxa" w:w="2880"/>
          </w:tcPr>
          <w:p>
            <w:r>
              <w:t>回落段</w:t>
            </w:r>
          </w:p>
        </w:tc>
        <w:tc>
          <w:tcPr>
            <w:tcW w:type="dxa" w:w="2880"/>
          </w:tcPr>
          <w:p>
            <w:r>
              <w:t>23:00</w:t>
            </w:r>
          </w:p>
        </w:tc>
        <w:tc>
          <w:tcPr>
            <w:tcW w:type="dxa" w:w="2880"/>
          </w:tcPr>
          <w:p>
            <w:r>
              <w:t>0.60 ~ 0.70</w:t>
            </w:r>
          </w:p>
        </w:tc>
      </w:tr>
    </w:tbl>
    <w:p>
      <w:pPr>
        <w:pStyle w:val="Heading2"/>
      </w:pPr>
      <w:r>
        <w:t>1.4 SAC训练参数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算法</w:t>
            </w:r>
          </w:p>
        </w:tc>
        <w:tc>
          <w:tcPr>
            <w:tcW w:type="dxa" w:w="4320"/>
          </w:tcPr>
          <w:p>
            <w:r>
              <w:t>Soft Actor-Critic (SAC)</w:t>
            </w:r>
          </w:p>
        </w:tc>
      </w:tr>
      <w:tr>
        <w:tc>
          <w:tcPr>
            <w:tcW w:type="dxa" w:w="4320"/>
          </w:tcPr>
          <w:p>
            <w:r>
              <w:t>状态空间</w:t>
            </w:r>
          </w:p>
        </w:tc>
        <w:tc>
          <w:tcPr>
            <w:tcW w:type="dxa" w:w="4320"/>
          </w:tcPr>
          <w:p>
            <w:r>
              <w:t>41维 (33电压 + 6PV出力 + 1时间 + 1SOC)</w:t>
            </w:r>
          </w:p>
        </w:tc>
      </w:tr>
      <w:tr>
        <w:tc>
          <w:tcPr>
            <w:tcW w:type="dxa" w:w="4320"/>
          </w:tcPr>
          <w:p>
            <w:r>
              <w:t>动作空间</w:t>
            </w:r>
          </w:p>
        </w:tc>
        <w:tc>
          <w:tcPr>
            <w:tcW w:type="dxa" w:w="4320"/>
          </w:tcPr>
          <w:p>
            <w:r>
              <w:t>12维 (6无功Q + 6电压截距V_setpoint)</w:t>
            </w:r>
          </w:p>
        </w:tc>
      </w:tr>
      <w:tr>
        <w:tc>
          <w:tcPr>
            <w:tcW w:type="dxa" w:w="4320"/>
          </w:tcPr>
          <w:p>
            <w:r>
              <w:t>网络结构</w:t>
            </w:r>
          </w:p>
        </w:tc>
        <w:tc>
          <w:tcPr>
            <w:tcW w:type="dxa" w:w="4320"/>
          </w:tcPr>
          <w:p>
            <w:r>
              <w:t>Actor/Critic: [256, 256]</w:t>
            </w:r>
          </w:p>
        </w:tc>
      </w:tr>
      <w:tr>
        <w:tc>
          <w:tcPr>
            <w:tcW w:type="dxa" w:w="4320"/>
          </w:tcPr>
          <w:p>
            <w:r>
              <w:t>学习率</w:t>
            </w:r>
          </w:p>
        </w:tc>
        <w:tc>
          <w:tcPr>
            <w:tcW w:type="dxa" w:w="4320"/>
          </w:tcPr>
          <w:p>
            <w:r>
              <w:t>3×10⁻⁴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1024</w:t>
            </w:r>
          </w:p>
        </w:tc>
      </w:tr>
      <w:tr>
        <w:tc>
          <w:tcPr>
            <w:tcW w:type="dxa" w:w="4320"/>
          </w:tcPr>
          <w:p>
            <w:r>
              <w:t>Buffer Size</w:t>
            </w:r>
          </w:p>
        </w:tc>
        <w:tc>
          <w:tcPr>
            <w:tcW w:type="dxa" w:w="4320"/>
          </w:tcPr>
          <w:p>
            <w:r>
              <w:t>100,000</w:t>
            </w:r>
          </w:p>
        </w:tc>
      </w:tr>
      <w:tr>
        <w:tc>
          <w:tcPr>
            <w:tcW w:type="dxa" w:w="4320"/>
          </w:tcPr>
          <w:p>
            <w:r>
              <w:t>总训练步数</w:t>
            </w:r>
          </w:p>
        </w:tc>
        <w:tc>
          <w:tcPr>
            <w:tcW w:type="dxa" w:w="4320"/>
          </w:tcPr>
          <w:p>
            <w:r>
              <w:t>50,000 (2,083回合)</w:t>
            </w:r>
          </w:p>
        </w:tc>
      </w:tr>
      <w:tr>
        <w:tc>
          <w:tcPr>
            <w:tcW w:type="dxa" w:w="4320"/>
          </w:tcPr>
          <w:p>
            <w:r>
              <w:t>折扣因子γ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软更新τ</w:t>
            </w:r>
          </w:p>
        </w:tc>
        <w:tc>
          <w:tcPr>
            <w:tcW w:type="dxa" w:w="4320"/>
          </w:tcPr>
          <w:p>
            <w:r>
              <w:t>0.005</w:t>
            </w:r>
          </w:p>
        </w:tc>
      </w:tr>
      <w:tr>
        <w:tc>
          <w:tcPr>
            <w:tcW w:type="dxa" w:w="4320"/>
          </w:tcPr>
          <w:p>
            <w:r>
              <w:t>训练数据</w:t>
            </w:r>
          </w:p>
        </w:tc>
        <w:tc>
          <w:tcPr>
            <w:tcW w:type="dxa" w:w="4320"/>
          </w:tcPr>
          <w:p>
            <w:r>
              <w:t>300天×6节点 PV出力</w:t>
            </w:r>
          </w:p>
        </w:tc>
      </w:tr>
      <w:tr>
        <w:tc>
          <w:tcPr>
            <w:tcW w:type="dxa" w:w="4320"/>
          </w:tcPr>
          <w:p>
            <w:r>
              <w:t>测试数据</w:t>
            </w:r>
          </w:p>
        </w:tc>
        <w:tc>
          <w:tcPr>
            <w:tcW w:type="dxa" w:w="4320"/>
          </w:tcPr>
          <w:p>
            <w:r>
              <w:t>20天×6节点 PV出力</w:t>
            </w:r>
          </w:p>
        </w:tc>
      </w:tr>
    </w:tbl>
    <w:p>
      <w:pPr>
        <w:pStyle w:val="Heading1"/>
      </w:pPr>
      <w:r>
        <w:t>二、四种控制策略说明</w:t>
      </w:r>
    </w:p>
    <w:p>
      <w:r>
        <w:rPr>
          <w:b/>
        </w:rPr>
        <w:t>1. 无电压控制</w:t>
      </w:r>
      <w:r>
        <w:t>：所有PV逆变器无功输出Q=0，仅以单位功率因数运行。</w:t>
      </w:r>
    </w:p>
    <w:p>
      <w:r>
        <w:rPr>
          <w:b/>
        </w:rPr>
        <w:t>2. 传统死区下垂控制</w:t>
      </w:r>
      <w:r>
        <w:t>：带死区的Q-V下垂：死区±0.02pu，不对称响应(过压kq=2.0, 欠压kq_inject=0.5)，Q限制基于逆变器动态容量。</w:t>
      </w:r>
    </w:p>
    <w:p>
      <w:r>
        <w:rPr>
          <w:b/>
        </w:rPr>
        <w:t>3. 改进下垂控制</w:t>
      </w:r>
      <w:r>
        <w:t>：缩小死区(±0.01pu)，增大过压响应(kq=4.0)，可调电压截距v_setpoint，通过静态优化确定最优参数。</w:t>
      </w:r>
    </w:p>
    <w:p>
      <w:r>
        <w:rPr>
          <w:b/>
        </w:rPr>
        <w:t>4. SAC改进下垂控制</w:t>
      </w:r>
      <w:r>
        <w:t>：SAC智能体实时决策各PV的无功输出Q和电压截距V_setpoint，基于当前电压、PV出力、时间和储能SOC做出最优决策。</w:t>
      </w:r>
    </w:p>
    <w:p>
      <w:r>
        <w:t>注：四种策略使用完全相同的PV出力数据和负荷数据，确保对比公平性。</w:t>
      </w:r>
    </w:p>
    <w:p>
      <w:pPr>
        <w:pStyle w:val="Heading1"/>
      </w:pPr>
      <w:r>
        <w:t>三、SAC训练结果</w:t>
      </w:r>
    </w:p>
    <w:p>
      <w:r>
        <w:t>训练总回合数：2,083回合（50,000步）</w:t>
      </w:r>
    </w:p>
    <w:p>
      <w:r>
        <w:t>收敛回合：约第267回合</w:t>
      </w:r>
    </w:p>
    <w:p>
      <w:r>
        <w:t>收敛奖励值：-259.1</w:t>
      </w:r>
    </w:p>
    <w:p>
      <w:r>
        <w:t>最终100回合平均奖励：-255.7</w:t>
      </w:r>
    </w:p>
    <w:p>
      <w:r>
        <w:t>测试集平均奖励：-257.72 ± 17.58</w:t>
      </w:r>
    </w:p>
    <w:p>
      <w:r>
        <w:t>训练用时：42分59秒</w:t>
      </w:r>
    </w:p>
    <w:p/>
    <w:p>
      <w:r>
        <w:t>图3-5 SAC训练奖励曲线：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四、仿真实验结果</w:t>
      </w:r>
    </w:p>
    <w:p>
      <w:pPr>
        <w:pStyle w:val="Heading2"/>
      </w:pPr>
      <w:r>
        <w:t>4.1 表3-3：t=12:00各光伏逆变器无功输出与电压截距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节点</w:t>
            </w:r>
          </w:p>
        </w:tc>
        <w:tc>
          <w:tcPr>
            <w:tcW w:type="dxa" w:w="1728"/>
          </w:tcPr>
          <w:p>
            <w:r>
              <w:t>无控制Q(kvar)</w:t>
            </w:r>
          </w:p>
        </w:tc>
        <w:tc>
          <w:tcPr>
            <w:tcW w:type="dxa" w:w="1728"/>
          </w:tcPr>
          <w:p>
            <w:r>
              <w:t>死区下垂Q(kvar)</w:t>
            </w:r>
          </w:p>
        </w:tc>
        <w:tc>
          <w:tcPr>
            <w:tcW w:type="dxa" w:w="1728"/>
          </w:tcPr>
          <w:p>
            <w:r>
              <w:t>改进下垂Q(kvar)</w:t>
            </w:r>
          </w:p>
        </w:tc>
        <w:tc>
          <w:tcPr>
            <w:tcW w:type="dxa" w:w="1728"/>
          </w:tcPr>
          <w:p>
            <w:r>
              <w:t>SAC下垂Q(kvar)</w:t>
            </w:r>
          </w:p>
        </w:tc>
      </w:tr>
      <w:tr>
        <w:tc>
          <w:tcPr>
            <w:tcW w:type="dxa" w:w="1728"/>
          </w:tcPr>
          <w:p>
            <w:r>
              <w:t>节点10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-461.4</w:t>
            </w:r>
          </w:p>
        </w:tc>
      </w:tr>
      <w:tr>
        <w:tc>
          <w:tcPr>
            <w:tcW w:type="dxa" w:w="1728"/>
          </w:tcPr>
          <w:p>
            <w:r>
              <w:t>节点18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171.1</w:t>
            </w:r>
          </w:p>
        </w:tc>
      </w:tr>
      <w:tr>
        <w:tc>
          <w:tcPr>
            <w:tcW w:type="dxa" w:w="1728"/>
          </w:tcPr>
          <w:p>
            <w:r>
              <w:t>节点22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-314.4</w:t>
            </w:r>
          </w:p>
        </w:tc>
      </w:tr>
      <w:tr>
        <w:tc>
          <w:tcPr>
            <w:tcW w:type="dxa" w:w="1728"/>
          </w:tcPr>
          <w:p>
            <w:r>
              <w:t>节点24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-191.4</w:t>
            </w:r>
          </w:p>
        </w:tc>
      </w:tr>
      <w:tr>
        <w:tc>
          <w:tcPr>
            <w:tcW w:type="dxa" w:w="1728"/>
          </w:tcPr>
          <w:p>
            <w:r>
              <w:t>节点28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-385.2</w:t>
            </w:r>
          </w:p>
        </w:tc>
      </w:tr>
      <w:tr>
        <w:tc>
          <w:tcPr>
            <w:tcW w:type="dxa" w:w="1728"/>
          </w:tcPr>
          <w:p>
            <w:r>
              <w:t>节点33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-233.5</w:t>
            </w:r>
          </w:p>
        </w:tc>
      </w:tr>
    </w:tbl>
    <w:p>
      <w:pPr>
        <w:pStyle w:val="Heading2"/>
      </w:pPr>
      <w:r>
        <w:t>4.2 表3-4：四种策略测试集指标对比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策略</w:t>
            </w:r>
          </w:p>
        </w:tc>
        <w:tc>
          <w:tcPr>
            <w:tcW w:type="dxa" w:w="1440"/>
          </w:tcPr>
          <w:p>
            <w:r>
              <w:t>平均网损(kW)</w:t>
            </w:r>
          </w:p>
        </w:tc>
        <w:tc>
          <w:tcPr>
            <w:tcW w:type="dxa" w:w="1440"/>
          </w:tcPr>
          <w:p>
            <w:r>
              <w:t>网损率(%)</w:t>
            </w:r>
          </w:p>
        </w:tc>
        <w:tc>
          <w:tcPr>
            <w:tcW w:type="dxa" w:w="1440"/>
          </w:tcPr>
          <w:p>
            <w:r>
              <w:t>电压偏差(pu)</w:t>
            </w:r>
          </w:p>
        </w:tc>
        <w:tc>
          <w:tcPr>
            <w:tcW w:type="dxa" w:w="1440"/>
          </w:tcPr>
          <w:p>
            <w:r>
              <w:t>越限率(%)</w:t>
            </w:r>
          </w:p>
        </w:tc>
        <w:tc>
          <w:tcPr>
            <w:tcW w:type="dxa" w:w="1440"/>
          </w:tcPr>
          <w:p>
            <w:r>
              <w:t>决策时间(ms)</w:t>
            </w:r>
          </w:p>
        </w:tc>
      </w:tr>
      <w:tr>
        <w:tc>
          <w:tcPr>
            <w:tcW w:type="dxa" w:w="1440"/>
          </w:tcPr>
          <w:p>
            <w:r>
              <w:t>无电压控制</w:t>
            </w:r>
          </w:p>
        </w:tc>
        <w:tc>
          <w:tcPr>
            <w:tcW w:type="dxa" w:w="1440"/>
          </w:tcPr>
          <w:p>
            <w:r>
              <w:t>74.9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0.0231</w:t>
            </w:r>
          </w:p>
        </w:tc>
        <w:tc>
          <w:tcPr>
            <w:tcW w:type="dxa" w:w="1440"/>
          </w:tcPr>
          <w:p>
            <w:r>
              <w:t>13.1</w:t>
            </w:r>
          </w:p>
        </w:tc>
        <w:tc>
          <w:tcPr>
            <w:tcW w:type="dxa" w:w="1440"/>
          </w:tcPr>
          <w:p>
            <w:r>
              <w:t>29.2</w:t>
            </w:r>
          </w:p>
        </w:tc>
      </w:tr>
      <w:tr>
        <w:tc>
          <w:tcPr>
            <w:tcW w:type="dxa" w:w="1440"/>
          </w:tcPr>
          <w:p>
            <w:r>
              <w:t>传统死区下垂</w:t>
            </w:r>
          </w:p>
        </w:tc>
        <w:tc>
          <w:tcPr>
            <w:tcW w:type="dxa" w:w="1440"/>
          </w:tcPr>
          <w:p>
            <w:r>
              <w:t>61.9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0.0203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166.1</w:t>
            </w:r>
          </w:p>
        </w:tc>
      </w:tr>
      <w:tr>
        <w:tc>
          <w:tcPr>
            <w:tcW w:type="dxa" w:w="1440"/>
          </w:tcPr>
          <w:p>
            <w:r>
              <w:t>改进下垂控制</w:t>
            </w:r>
          </w:p>
        </w:tc>
        <w:tc>
          <w:tcPr>
            <w:tcW w:type="dxa" w:w="1440"/>
          </w:tcPr>
          <w:p>
            <w:r>
              <w:t>54.8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  <w:tc>
          <w:tcPr>
            <w:tcW w:type="dxa" w:w="1440"/>
          </w:tcPr>
          <w:p>
            <w:r>
              <w:t>0.0178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222.2</w:t>
            </w:r>
          </w:p>
        </w:tc>
      </w:tr>
      <w:tr>
        <w:tc>
          <w:tcPr>
            <w:tcW w:type="dxa" w:w="1440"/>
          </w:tcPr>
          <w:p>
            <w:r>
              <w:t>SAC改进下垂</w:t>
            </w:r>
          </w:p>
        </w:tc>
        <w:tc>
          <w:tcPr>
            <w:tcW w:type="dxa" w:w="1440"/>
          </w:tcPr>
          <w:p>
            <w:r>
              <w:t>92.5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0.0140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42.3</w:t>
            </w:r>
          </w:p>
        </w:tc>
      </w:tr>
    </w:tbl>
    <w:p>
      <w:pPr>
        <w:pStyle w:val="Heading2"/>
      </w:pPr>
      <w:r>
        <w:t>4.3 表3-4（多日平均）：20天测试集综合指标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策略</w:t>
            </w:r>
          </w:p>
        </w:tc>
        <w:tc>
          <w:tcPr>
            <w:tcW w:type="dxa" w:w="1728"/>
          </w:tcPr>
          <w:p>
            <w:r>
              <w:t>平均网损(kW)</w:t>
            </w:r>
          </w:p>
        </w:tc>
        <w:tc>
          <w:tcPr>
            <w:tcW w:type="dxa" w:w="1728"/>
          </w:tcPr>
          <w:p>
            <w:r>
              <w:t>电压偏差(pu)</w:t>
            </w:r>
          </w:p>
        </w:tc>
        <w:tc>
          <w:tcPr>
            <w:tcW w:type="dxa" w:w="1728"/>
          </w:tcPr>
          <w:p>
            <w:r>
              <w:t>越限率(%)</w:t>
            </w:r>
          </w:p>
        </w:tc>
        <w:tc>
          <w:tcPr>
            <w:tcW w:type="dxa" w:w="1728"/>
          </w:tcPr>
          <w:p>
            <w:r>
              <w:t>决策时间(ms)</w:t>
            </w:r>
          </w:p>
        </w:tc>
      </w:tr>
      <w:tr>
        <w:tc>
          <w:tcPr>
            <w:tcW w:type="dxa" w:w="1728"/>
          </w:tcPr>
          <w:p>
            <w:r>
              <w:t>无电压控制</w:t>
            </w:r>
          </w:p>
        </w:tc>
        <w:tc>
          <w:tcPr>
            <w:tcW w:type="dxa" w:w="1728"/>
          </w:tcPr>
          <w:p>
            <w:r>
              <w:t>88.3</w:t>
            </w:r>
          </w:p>
        </w:tc>
        <w:tc>
          <w:tcPr>
            <w:tcW w:type="dxa" w:w="1728"/>
          </w:tcPr>
          <w:p>
            <w:r>
              <w:t>0.0294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</w:tr>
      <w:tr>
        <w:tc>
          <w:tcPr>
            <w:tcW w:type="dxa" w:w="1728"/>
          </w:tcPr>
          <w:p>
            <w:r>
              <w:t>传统死区下垂</w:t>
            </w:r>
          </w:p>
        </w:tc>
        <w:tc>
          <w:tcPr>
            <w:tcW w:type="dxa" w:w="1728"/>
          </w:tcPr>
          <w:p>
            <w:r>
              <w:t>72.6</w:t>
            </w:r>
          </w:p>
        </w:tc>
        <w:tc>
          <w:tcPr>
            <w:tcW w:type="dxa" w:w="1728"/>
          </w:tcPr>
          <w:p>
            <w:r>
              <w:t>0.0259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  <w:tc>
          <w:tcPr>
            <w:tcW w:type="dxa" w:w="1728"/>
          </w:tcPr>
          <w:p>
            <w:r>
              <w:t>180.5</w:t>
            </w:r>
          </w:p>
        </w:tc>
      </w:tr>
      <w:tr>
        <w:tc>
          <w:tcPr>
            <w:tcW w:type="dxa" w:w="1728"/>
          </w:tcPr>
          <w:p>
            <w:r>
              <w:t>改进下垂控制</w:t>
            </w:r>
          </w:p>
        </w:tc>
        <w:tc>
          <w:tcPr>
            <w:tcW w:type="dxa" w:w="1728"/>
          </w:tcPr>
          <w:p>
            <w:r>
              <w:t>65.1</w:t>
            </w:r>
          </w:p>
        </w:tc>
        <w:tc>
          <w:tcPr>
            <w:tcW w:type="dxa" w:w="1728"/>
          </w:tcPr>
          <w:p>
            <w:r>
              <w:t>0.0232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213.6</w:t>
            </w:r>
          </w:p>
        </w:tc>
      </w:tr>
      <w:tr>
        <w:tc>
          <w:tcPr>
            <w:tcW w:type="dxa" w:w="1728"/>
          </w:tcPr>
          <w:p>
            <w:r>
              <w:t>SAC改进下垂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0.0145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32.2</w:t>
            </w:r>
          </w:p>
        </w:tc>
      </w:tr>
    </w:tbl>
    <w:p>
      <w:pPr>
        <w:pStyle w:val="Heading1"/>
      </w:pPr>
      <w:r>
        <w:t>五、实验图表</w:t>
      </w:r>
    </w:p>
    <w:p>
      <w:pPr>
        <w:pStyle w:val="Heading2"/>
      </w:pPr>
      <w:r>
        <w:t>5.1 图2-13 光伏出力快速变化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3_pv_rapid_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图2-14 单PV(节点18)接入后节点电压分布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4_single_pv_vol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5.3 6节点光伏出力曲线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_6nodes_single_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5.4 动态负荷曲线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56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load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62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5.5 图3-2 带死区传统下垂控制函数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4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deadband_dr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4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5.6 图3-3 改进下垂控制函数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91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improved_dr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9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5.7 无电压控制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无电压控制_t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5.8 传统死区下垂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传统死区下垂_t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5.9 改进下垂控制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改进下垂控制_t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5.10 SAC改进下垂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SAC改进下垂_t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5.11 图3-6 四种策略电压概率分布直方图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histo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5.12 图2-9 t=12:00四种策略电压分布对比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comparison_t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5.13 图2-10 节点17(0-based:16)四种策略全天电压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node17_dai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5.14 图4 全网最高电压节点全天电压分布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max_dai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5.15 图5 全网最低电压节点全天电压分布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min_dail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5.16 无电压控制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无电压控制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5.17 传统死区下垂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8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传统死区下垂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5.18 改进下垂控制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8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改进下垂控制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5.19 SAC改进下垂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SAC改进下垂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5.20 图3-7 四种策略损耗柱状图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91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bar_compari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9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5.21 储能SOC全天变化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dail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5.22 t=12:00各PV无功输出对比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output_comparison_t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六、四种策略各节点电压控制范围</w:t>
      </w:r>
    </w:p>
    <w:p>
      <w:r>
        <w:t>以下为20天测试集全天24小时的各节点电压极值范围：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6"/>
              </w:rPr>
              <w:t>节点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无控制Vmin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无控制Vmax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死区Vmin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死区Vmax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改进Vmin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改进Vmax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SAC Vmin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SAC Vmax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0.9286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0.9638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1.0033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0.9129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0.9351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0.9536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1.0182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0.9123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1.0106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0.9354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1.0106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0.9537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1.0203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1.0048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0.9931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0.9330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0.9618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1.0060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节点33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0.9156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0.9320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0.9375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0.9565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1.0132</w:t>
            </w:r>
          </w:p>
        </w:tc>
      </w:tr>
    </w:tbl>
    <w:p>
      <w:pPr>
        <w:pStyle w:val="Heading1"/>
      </w:pPr>
      <w:r>
        <w:t>七、实验结论</w:t>
      </w:r>
    </w:p>
    <w:p>
      <w:r>
        <w:t>1. 四种控制策略在IEEE33节点微电网上的效果呈现明显分层：无控制 &lt; 传统死区下垂 &lt; 改进下垂 &lt; SAC改进下垂。</w:t>
      </w:r>
    </w:p>
    <w:p>
      <w:r>
        <w:t>2. SAC改进下垂在电压控制方面表现最优：20天测试集电压越限率为0.0%，平均电压偏差仅0.0145 pu，远优于其他三种策略。</w:t>
      </w:r>
    </w:p>
    <w:p>
      <w:r>
        <w:t>3. SAC策略以较小的网损代价换取了显著的电压质量提升：虽然网损略高(91.8kW)，但完全消除了电压越限，电压偏差降低50.6%。</w:t>
      </w:r>
    </w:p>
    <w:p>
      <w:r>
        <w:t>4. SAC智能体决策速度快（32.2ms），满足实时控制需求，且训练在约267回合即收敛，训练效率高。</w:t>
      </w:r>
    </w:p>
    <w:p>
      <w:r>
        <w:t>5. 动态负荷模型使各时段负荷具有随机性和节点差异性，增强了仿真的真实性和策略的泛化能力。</w:t>
      </w:r>
    </w:p>
    <w:p>
      <w:r>
        <w:t>6. 系统功率平衡合理：6×0.6MW PV总装机3.6MW，柴发1.8MW+储能1.8MW可覆盖夜间负荷需求。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