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sz w:val="44"/>
        </w:rPr>
        <w:t>第四章 实验结果与分析</w:t>
      </w:r>
    </w:p>
    <w:p>
      <w:pPr>
        <w:spacing w:line="360" w:lineRule="auto"/>
        <w:ind w:firstLine="420"/>
      </w:pPr>
      <w:r>
        <w:rPr>
          <w:rFonts w:ascii="宋体" w:hAnsi="宋体" w:eastAsia="宋体"/>
          <w:sz w:val="24"/>
        </w:rPr>
        <w:t>本章对智能交通流量预测系统的核心算法进行了全面的实验验证。实验基于nuScenes自动驾驶数据集提取的交通流量数据，分别对LSTM、CNN、LSTM+CNN混合模型以及协同过滤算法进行了训练、评估和对比分析。通过多角度的实验设计，系统地验证了各算法在交通流量预测任务中的有效性和优越性。</w:t>
      </w:r>
    </w:p>
    <w:p>
      <w:pPr>
        <w:pStyle w:val="Heading1"/>
      </w:pPr>
      <w:r>
        <w:rPr>
          <w:rFonts w:ascii="黑体" w:hAnsi="黑体" w:eastAsia="黑体"/>
        </w:rPr>
        <w:t>4.1 实验环境与数据准备</w:t>
      </w:r>
    </w:p>
    <w:p>
      <w:pPr>
        <w:pStyle w:val="Heading2"/>
      </w:pPr>
      <w:r>
        <w:rPr>
          <w:rFonts w:ascii="黑体" w:hAnsi="黑体" w:eastAsia="黑体"/>
        </w:rPr>
        <w:t>4.1.1 实验环境配置</w:t>
      </w:r>
    </w:p>
    <w:p>
      <w:pPr>
        <w:spacing w:line="360" w:lineRule="auto"/>
        <w:ind w:firstLine="420"/>
      </w:pPr>
      <w:r>
        <w:rPr>
          <w:rFonts w:ascii="宋体" w:hAnsi="宋体" w:eastAsia="宋体"/>
          <w:sz w:val="24"/>
        </w:rPr>
        <w:t>本实验在配备高性能GPU的工作站上进行，具体硬件和软件环境配置如表4-1所示。实验采用PyTorch深度学习框架，充分利用CUDA并行计算能力加速模型训练过程。</w:t>
      </w:r>
    </w:p>
    <w:p>
      <w:pPr>
        <w:jc w:val="center"/>
      </w:pPr>
      <w:r>
        <w:rPr>
          <w:rFonts w:ascii="宋体" w:hAnsi="宋体" w:eastAsia="宋体"/>
          <w:b/>
          <w:sz w:val="21"/>
        </w:rPr>
        <w:t>表4-1 实验环境配置</w:t>
      </w:r>
    </w:p>
    <w:tbl>
      <w:tblPr>
        <w:tblStyle w:val="TableGrid"/>
        <w:tblW w:type="auto" w:w="0"/>
        <w:jc w:val="center"/>
        <w:tblLook w:firstColumn="1" w:firstRow="1" w:lastColumn="0" w:lastRow="0" w:noHBand="0" w:noVBand="1" w:val="04A0"/>
      </w:tblPr>
      <w:tblGrid>
        <w:gridCol w:w="4320"/>
        <w:gridCol w:w="4320"/>
      </w:tblGrid>
      <w:tr>
        <w:tc>
          <w:tcPr>
            <w:tcW w:type="dxa" w:w="2268"/>
            <w:shd w:fill="4472C4" w:val="clear"/>
          </w:tcPr>
          <w:p>
            <w:pPr>
              <w:jc w:val="center"/>
            </w:pPr>
            <w:r/>
            <w:r>
              <w:rPr>
                <w:rFonts w:ascii="宋体" w:hAnsi="宋体" w:eastAsia="宋体"/>
                <w:b/>
                <w:color w:val="FFFFFF"/>
                <w:sz w:val="20"/>
              </w:rPr>
              <w:t>配置项</w:t>
            </w:r>
          </w:p>
        </w:tc>
        <w:tc>
          <w:tcPr>
            <w:tcW w:type="dxa" w:w="5669"/>
            <w:shd w:fill="4472C4" w:val="clear"/>
          </w:tcPr>
          <w:p>
            <w:pPr>
              <w:jc w:val="center"/>
            </w:pPr>
            <w:r/>
            <w:r>
              <w:rPr>
                <w:rFonts w:ascii="宋体" w:hAnsi="宋体" w:eastAsia="宋体"/>
                <w:b/>
                <w:color w:val="FFFFFF"/>
                <w:sz w:val="20"/>
              </w:rPr>
              <w:t>详细信息</w:t>
            </w:r>
          </w:p>
        </w:tc>
      </w:tr>
      <w:tr>
        <w:tc>
          <w:tcPr>
            <w:tcW w:type="dxa" w:w="2268"/>
          </w:tcPr>
          <w:p>
            <w:pPr>
              <w:jc w:val="center"/>
            </w:pPr>
            <w:r/>
            <w:r>
              <w:rPr>
                <w:rFonts w:ascii="Times New Roman" w:hAnsi="Times New Roman" w:eastAsia="宋体"/>
                <w:sz w:val="20"/>
              </w:rPr>
              <w:t>操作系统</w:t>
            </w:r>
          </w:p>
        </w:tc>
        <w:tc>
          <w:tcPr>
            <w:tcW w:type="dxa" w:w="5669"/>
          </w:tcPr>
          <w:p>
            <w:pPr>
              <w:jc w:val="center"/>
            </w:pPr>
            <w:r/>
            <w:r>
              <w:rPr>
                <w:rFonts w:ascii="Times New Roman" w:hAnsi="Times New Roman" w:eastAsia="宋体"/>
                <w:sz w:val="20"/>
              </w:rPr>
              <w:t>Ubuntu 22.04 LTS</w:t>
            </w:r>
          </w:p>
        </w:tc>
      </w:tr>
      <w:tr>
        <w:tc>
          <w:tcPr>
            <w:tcW w:type="dxa" w:w="2268"/>
            <w:shd w:fill="D9E2F3" w:val="clear"/>
          </w:tcPr>
          <w:p>
            <w:pPr>
              <w:jc w:val="center"/>
            </w:pPr>
            <w:r/>
            <w:r>
              <w:rPr>
                <w:rFonts w:ascii="Times New Roman" w:hAnsi="Times New Roman" w:eastAsia="宋体"/>
                <w:sz w:val="20"/>
              </w:rPr>
              <w:t>CPU</w:t>
            </w:r>
          </w:p>
        </w:tc>
        <w:tc>
          <w:tcPr>
            <w:tcW w:type="dxa" w:w="5669"/>
            <w:shd w:fill="D9E2F3" w:val="clear"/>
          </w:tcPr>
          <w:p>
            <w:pPr>
              <w:jc w:val="center"/>
            </w:pPr>
            <w:r/>
            <w:r>
              <w:rPr>
                <w:rFonts w:ascii="Times New Roman" w:hAnsi="Times New Roman" w:eastAsia="宋体"/>
                <w:sz w:val="20"/>
              </w:rPr>
              <w:t>Intel Xeon (多核处理器)</w:t>
            </w:r>
          </w:p>
        </w:tc>
      </w:tr>
      <w:tr>
        <w:tc>
          <w:tcPr>
            <w:tcW w:type="dxa" w:w="2268"/>
          </w:tcPr>
          <w:p>
            <w:pPr>
              <w:jc w:val="center"/>
            </w:pPr>
            <w:r/>
            <w:r>
              <w:rPr>
                <w:rFonts w:ascii="Times New Roman" w:hAnsi="Times New Roman" w:eastAsia="宋体"/>
                <w:sz w:val="20"/>
              </w:rPr>
              <w:t>GPU</w:t>
            </w:r>
          </w:p>
        </w:tc>
        <w:tc>
          <w:tcPr>
            <w:tcW w:type="dxa" w:w="5669"/>
          </w:tcPr>
          <w:p>
            <w:pPr>
              <w:jc w:val="center"/>
            </w:pPr>
            <w:r/>
            <w:r>
              <w:rPr>
                <w:rFonts w:ascii="Times New Roman" w:hAnsi="Times New Roman" w:eastAsia="宋体"/>
                <w:sz w:val="20"/>
              </w:rPr>
              <w:t>NVIDIA GeForce RTX 3090 × 4</w:t>
            </w:r>
          </w:p>
        </w:tc>
      </w:tr>
      <w:tr>
        <w:tc>
          <w:tcPr>
            <w:tcW w:type="dxa" w:w="2268"/>
            <w:shd w:fill="D9E2F3" w:val="clear"/>
          </w:tcPr>
          <w:p>
            <w:pPr>
              <w:jc w:val="center"/>
            </w:pPr>
            <w:r/>
            <w:r>
              <w:rPr>
                <w:rFonts w:ascii="Times New Roman" w:hAnsi="Times New Roman" w:eastAsia="宋体"/>
                <w:sz w:val="20"/>
              </w:rPr>
              <w:t>GPU显存</w:t>
            </w:r>
          </w:p>
        </w:tc>
        <w:tc>
          <w:tcPr>
            <w:tcW w:type="dxa" w:w="5669"/>
            <w:shd w:fill="D9E2F3" w:val="clear"/>
          </w:tcPr>
          <w:p>
            <w:pPr>
              <w:jc w:val="center"/>
            </w:pPr>
            <w:r/>
            <w:r>
              <w:rPr>
                <w:rFonts w:ascii="Times New Roman" w:hAnsi="Times New Roman" w:eastAsia="宋体"/>
                <w:sz w:val="20"/>
              </w:rPr>
              <w:t>24GB × 4</w:t>
            </w:r>
          </w:p>
        </w:tc>
      </w:tr>
      <w:tr>
        <w:tc>
          <w:tcPr>
            <w:tcW w:type="dxa" w:w="2268"/>
          </w:tcPr>
          <w:p>
            <w:pPr>
              <w:jc w:val="center"/>
            </w:pPr>
            <w:r/>
            <w:r>
              <w:rPr>
                <w:rFonts w:ascii="Times New Roman" w:hAnsi="Times New Roman" w:eastAsia="宋体"/>
                <w:sz w:val="20"/>
              </w:rPr>
              <w:t>内存</w:t>
            </w:r>
          </w:p>
        </w:tc>
        <w:tc>
          <w:tcPr>
            <w:tcW w:type="dxa" w:w="5669"/>
          </w:tcPr>
          <w:p>
            <w:pPr>
              <w:jc w:val="center"/>
            </w:pPr>
            <w:r/>
            <w:r>
              <w:rPr>
                <w:rFonts w:ascii="Times New Roman" w:hAnsi="Times New Roman" w:eastAsia="宋体"/>
                <w:sz w:val="20"/>
              </w:rPr>
              <w:t>128GB DDR4</w:t>
            </w:r>
          </w:p>
        </w:tc>
      </w:tr>
      <w:tr>
        <w:tc>
          <w:tcPr>
            <w:tcW w:type="dxa" w:w="2268"/>
            <w:shd w:fill="D9E2F3" w:val="clear"/>
          </w:tcPr>
          <w:p>
            <w:pPr>
              <w:jc w:val="center"/>
            </w:pPr>
            <w:r/>
            <w:r>
              <w:rPr>
                <w:rFonts w:ascii="Times New Roman" w:hAnsi="Times New Roman" w:eastAsia="宋体"/>
                <w:sz w:val="20"/>
              </w:rPr>
              <w:t>Python版本</w:t>
            </w:r>
          </w:p>
        </w:tc>
        <w:tc>
          <w:tcPr>
            <w:tcW w:type="dxa" w:w="5669"/>
            <w:shd w:fill="D9E2F3" w:val="clear"/>
          </w:tcPr>
          <w:p>
            <w:pPr>
              <w:jc w:val="center"/>
            </w:pPr>
            <w:r/>
            <w:r>
              <w:rPr>
                <w:rFonts w:ascii="Times New Roman" w:hAnsi="Times New Roman" w:eastAsia="宋体"/>
                <w:sz w:val="20"/>
              </w:rPr>
              <w:t>3.11</w:t>
            </w:r>
          </w:p>
        </w:tc>
      </w:tr>
      <w:tr>
        <w:tc>
          <w:tcPr>
            <w:tcW w:type="dxa" w:w="2268"/>
          </w:tcPr>
          <w:p>
            <w:pPr>
              <w:jc w:val="center"/>
            </w:pPr>
            <w:r/>
            <w:r>
              <w:rPr>
                <w:rFonts w:ascii="Times New Roman" w:hAnsi="Times New Roman" w:eastAsia="宋体"/>
                <w:sz w:val="20"/>
              </w:rPr>
              <w:t>深度学习框架</w:t>
            </w:r>
          </w:p>
        </w:tc>
        <w:tc>
          <w:tcPr>
            <w:tcW w:type="dxa" w:w="5669"/>
          </w:tcPr>
          <w:p>
            <w:pPr>
              <w:jc w:val="center"/>
            </w:pPr>
            <w:r/>
            <w:r>
              <w:rPr>
                <w:rFonts w:ascii="Times New Roman" w:hAnsi="Times New Roman" w:eastAsia="宋体"/>
                <w:sz w:val="20"/>
              </w:rPr>
              <w:t>PyTorch 2.5.1 + CUDA 12.1</w:t>
            </w:r>
          </w:p>
        </w:tc>
      </w:tr>
      <w:tr>
        <w:tc>
          <w:tcPr>
            <w:tcW w:type="dxa" w:w="2268"/>
            <w:shd w:fill="D9E2F3" w:val="clear"/>
          </w:tcPr>
          <w:p>
            <w:pPr>
              <w:jc w:val="center"/>
            </w:pPr>
            <w:r/>
            <w:r>
              <w:rPr>
                <w:rFonts w:ascii="Times New Roman" w:hAnsi="Times New Roman" w:eastAsia="宋体"/>
                <w:sz w:val="20"/>
              </w:rPr>
              <w:t>Web框架</w:t>
            </w:r>
          </w:p>
        </w:tc>
        <w:tc>
          <w:tcPr>
            <w:tcW w:type="dxa" w:w="5669"/>
            <w:shd w:fill="D9E2F3" w:val="clear"/>
          </w:tcPr>
          <w:p>
            <w:pPr>
              <w:jc w:val="center"/>
            </w:pPr>
            <w:r/>
            <w:r>
              <w:rPr>
                <w:rFonts w:ascii="Times New Roman" w:hAnsi="Times New Roman" w:eastAsia="宋体"/>
                <w:sz w:val="20"/>
              </w:rPr>
              <w:t>Django 4.2.7</w:t>
            </w:r>
          </w:p>
        </w:tc>
      </w:tr>
      <w:tr>
        <w:tc>
          <w:tcPr>
            <w:tcW w:type="dxa" w:w="2268"/>
          </w:tcPr>
          <w:p>
            <w:pPr>
              <w:jc w:val="center"/>
            </w:pPr>
            <w:r/>
            <w:r>
              <w:rPr>
                <w:rFonts w:ascii="Times New Roman" w:hAnsi="Times New Roman" w:eastAsia="宋体"/>
                <w:sz w:val="20"/>
              </w:rPr>
              <w:t>数据处理</w:t>
            </w:r>
          </w:p>
        </w:tc>
        <w:tc>
          <w:tcPr>
            <w:tcW w:type="dxa" w:w="5669"/>
          </w:tcPr>
          <w:p>
            <w:pPr>
              <w:jc w:val="center"/>
            </w:pPr>
            <w:r/>
            <w:r>
              <w:rPr>
                <w:rFonts w:ascii="Times New Roman" w:hAnsi="Times New Roman" w:eastAsia="宋体"/>
                <w:sz w:val="20"/>
              </w:rPr>
              <w:t>pandas 3.0.1, scikit-learn 1.8.0</w:t>
            </w:r>
          </w:p>
        </w:tc>
      </w:tr>
      <w:tr>
        <w:tc>
          <w:tcPr>
            <w:tcW w:type="dxa" w:w="2268"/>
            <w:shd w:fill="D9E2F3" w:val="clear"/>
          </w:tcPr>
          <w:p>
            <w:pPr>
              <w:jc w:val="center"/>
            </w:pPr>
            <w:r/>
            <w:r>
              <w:rPr>
                <w:rFonts w:ascii="Times New Roman" w:hAnsi="Times New Roman" w:eastAsia="宋体"/>
                <w:sz w:val="20"/>
              </w:rPr>
              <w:t>可视化</w:t>
            </w:r>
          </w:p>
        </w:tc>
        <w:tc>
          <w:tcPr>
            <w:tcW w:type="dxa" w:w="5669"/>
            <w:shd w:fill="D9E2F3" w:val="clear"/>
          </w:tcPr>
          <w:p>
            <w:pPr>
              <w:jc w:val="center"/>
            </w:pPr>
            <w:r/>
            <w:r>
              <w:rPr>
                <w:rFonts w:ascii="Times New Roman" w:hAnsi="Times New Roman" w:eastAsia="宋体"/>
                <w:sz w:val="20"/>
              </w:rPr>
              <w:t>matplotlib 3.10.1, ECharts 5</w:t>
            </w:r>
          </w:p>
        </w:tc>
      </w:tr>
    </w:tbl>
    <w:p/>
    <w:p>
      <w:pPr>
        <w:pStyle w:val="Heading2"/>
      </w:pPr>
      <w:r>
        <w:rPr>
          <w:rFonts w:ascii="黑体" w:hAnsi="黑体" w:eastAsia="黑体"/>
        </w:rPr>
        <w:t>4.1.2 数据集描述</w:t>
      </w:r>
    </w:p>
    <w:p>
      <w:pPr>
        <w:spacing w:line="360" w:lineRule="auto"/>
        <w:ind w:firstLine="420"/>
      </w:pPr>
      <w:r>
        <w:rPr>
          <w:rFonts w:ascii="宋体" w:hAnsi="宋体" w:eastAsia="宋体"/>
          <w:sz w:val="24"/>
        </w:rPr>
        <w:t>本实验的交通流量数据来源于nuScenes自动驾驶数据集。nuScenes是由Motional团队发布的大规模自动驾驶数据集，包含1000个驾驶场景，涵盖了波士顿和新加坡两个城市的多种交通环境。数据集配备了6个摄像头、1个激光雷达、5个毫米波雷达以及GPS/IMU传感器，共标注了约140万个三维标注框，覆盖23个目标类别。</w:t>
      </w:r>
    </w:p>
    <w:p>
      <w:pPr>
        <w:spacing w:line="360" w:lineRule="auto"/>
        <w:ind w:firstLine="420"/>
      </w:pPr>
      <w:r>
        <w:rPr>
          <w:rFonts w:ascii="宋体" w:hAnsi="宋体" w:eastAsia="宋体"/>
          <w:sz w:val="24"/>
        </w:rPr>
        <w:t>本系统从nuScenes数据集的目标检测标注信息中提取车辆、行人等交通参与者的统计数据，通过数据转换生成模拟交通流量时序数据。数据生成过程如下：首先从nuScenes数据集中读取每个场景的标注信息，统计不同类别目标（车辆、行人、自行车等）的检测数量；然后将这些检测统计信息按照6个虚拟监测点位（Main Road A、Commercial District B、Residential Area C、Side Road D、Intersection E、Highway Entrance F）进行分配，结合时间戳和周期性模式生成60天的连续交通流量数据。每条记录包含总流量、车辆数、行人数、平均速度、置信度等8个特征维度。</w:t>
      </w:r>
    </w:p>
    <w:p>
      <w:pPr>
        <w:jc w:val="center"/>
      </w:pPr>
      <w:r>
        <w:drawing>
          <wp:inline xmlns:a="http://schemas.openxmlformats.org/drawingml/2006/main" xmlns:pic="http://schemas.openxmlformats.org/drawingml/2006/picture">
            <wp:extent cx="5669280" cy="4076549"/>
            <wp:docPr id="1" name="Picture 1"/>
            <wp:cNvGraphicFramePr>
              <a:graphicFrameLocks noChangeAspect="1"/>
            </wp:cNvGraphicFramePr>
            <a:graphic>
              <a:graphicData uri="http://schemas.openxmlformats.org/drawingml/2006/picture">
                <pic:pic>
                  <pic:nvPicPr>
                    <pic:cNvPr id="0" name="exp1_data_overview.png"/>
                    <pic:cNvPicPr/>
                  </pic:nvPicPr>
                  <pic:blipFill>
                    <a:blip r:embed="rId9"/>
                    <a:stretch>
                      <a:fillRect/>
                    </a:stretch>
                  </pic:blipFill>
                  <pic:spPr>
                    <a:xfrm>
                      <a:off x="0" y="0"/>
                      <a:ext cx="5669280" cy="4076549"/>
                    </a:xfrm>
                    <a:prstGeom prst="rect"/>
                  </pic:spPr>
                </pic:pic>
              </a:graphicData>
            </a:graphic>
          </wp:inline>
        </w:drawing>
      </w:r>
    </w:p>
    <w:p>
      <w:pPr>
        <w:jc w:val="center"/>
      </w:pPr>
      <w:r>
        <w:rPr>
          <w:rFonts w:ascii="宋体" w:hAnsi="宋体" w:eastAsia="宋体"/>
          <w:b/>
          <w:sz w:val="21"/>
        </w:rPr>
        <w:t>图4-1 nuScenes数据集概览与交通流量统计分析</w:t>
      </w:r>
    </w:p>
    <w:p>
      <w:pPr>
        <w:spacing w:line="360" w:lineRule="auto"/>
        <w:ind w:firstLine="420"/>
      </w:pPr>
      <w:r>
        <w:rPr>
          <w:rFonts w:ascii="宋体" w:hAnsi="宋体" w:eastAsia="宋体"/>
          <w:sz w:val="24"/>
        </w:rPr>
        <w:t>如图4-1所示，实验数据集包含34,560条交通流量记录和480条气象数据记录，覆盖6个监测点位。图中展示了主干道A的交通流量时间序列变化趋势、各类交通参与者的构成比例、小时平均流量分布（其中红色柱体标注了早晚高峰时段）、工作日与周末的流量模式差异、各监测点位的流量分布箱线图、速度-流量关系散点图以及数据集划分比例。</w:t>
      </w:r>
    </w:p>
    <w:p>
      <w:pPr>
        <w:spacing w:line="360" w:lineRule="auto"/>
        <w:ind w:firstLine="420"/>
      </w:pPr>
      <w:r>
        <w:rPr>
          <w:rFonts w:ascii="宋体" w:hAnsi="宋体" w:eastAsia="宋体"/>
          <w:sz w:val="24"/>
        </w:rPr>
        <w:t>数据按照70%/15%/15%的比例划分为训练集（4,015条）、验证集（860条）和测试集（861条）。数据预处理阶段采用MinMaxScaler进行归一化，将所有特征缩放至[0,1]区间，并通过滑动窗口方法构建时间序列样本，窗口长度默认设置为24个时间步。</w:t>
      </w:r>
    </w:p>
    <w:p>
      <w:pPr>
        <w:jc w:val="center"/>
      </w:pPr>
      <w:r>
        <w:rPr>
          <w:rFonts w:ascii="宋体" w:hAnsi="宋体" w:eastAsia="宋体"/>
          <w:b/>
          <w:sz w:val="21"/>
        </w:rPr>
        <w:t>表4-2 实验数据集统计</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4472C4" w:val="clear"/>
          </w:tcPr>
          <w:p>
            <w:pPr>
              <w:jc w:val="center"/>
            </w:pPr>
            <w:r/>
            <w:r>
              <w:rPr>
                <w:rFonts w:ascii="宋体" w:hAnsi="宋体" w:eastAsia="宋体"/>
                <w:b/>
                <w:color w:val="FFFFFF"/>
                <w:sz w:val="20"/>
              </w:rPr>
              <w:t>数据项</w:t>
            </w:r>
          </w:p>
        </w:tc>
        <w:tc>
          <w:tcPr>
            <w:tcW w:type="dxa" w:w="1701"/>
            <w:shd w:fill="4472C4" w:val="clear"/>
          </w:tcPr>
          <w:p>
            <w:pPr>
              <w:jc w:val="center"/>
            </w:pPr>
            <w:r/>
            <w:r>
              <w:rPr>
                <w:rFonts w:ascii="宋体" w:hAnsi="宋体" w:eastAsia="宋体"/>
                <w:b/>
                <w:color w:val="FFFFFF"/>
                <w:sz w:val="20"/>
              </w:rPr>
              <w:t>数量</w:t>
            </w:r>
          </w:p>
        </w:tc>
        <w:tc>
          <w:tcPr>
            <w:tcW w:type="dxa" w:w="3969"/>
            <w:shd w:fill="4472C4" w:val="clear"/>
          </w:tcPr>
          <w:p>
            <w:pPr>
              <w:jc w:val="center"/>
            </w:pPr>
            <w:r/>
            <w:r>
              <w:rPr>
                <w:rFonts w:ascii="宋体" w:hAnsi="宋体" w:eastAsia="宋体"/>
                <w:b/>
                <w:color w:val="FFFFFF"/>
                <w:sz w:val="20"/>
              </w:rPr>
              <w:t>说明</w:t>
            </w:r>
          </w:p>
        </w:tc>
      </w:tr>
      <w:tr>
        <w:tc>
          <w:tcPr>
            <w:tcW w:type="dxa" w:w="2268"/>
          </w:tcPr>
          <w:p>
            <w:pPr>
              <w:jc w:val="center"/>
            </w:pPr>
            <w:r/>
            <w:r>
              <w:rPr>
                <w:rFonts w:ascii="Times New Roman" w:hAnsi="Times New Roman" w:eastAsia="宋体"/>
                <w:sz w:val="20"/>
              </w:rPr>
              <w:t>交通流量记录</w:t>
            </w:r>
          </w:p>
        </w:tc>
        <w:tc>
          <w:tcPr>
            <w:tcW w:type="dxa" w:w="1701"/>
          </w:tcPr>
          <w:p>
            <w:pPr>
              <w:jc w:val="center"/>
            </w:pPr>
            <w:r/>
            <w:r>
              <w:rPr>
                <w:rFonts w:ascii="Times New Roman" w:hAnsi="Times New Roman" w:eastAsia="宋体"/>
                <w:sz w:val="20"/>
              </w:rPr>
              <w:t>34,560条</w:t>
            </w:r>
          </w:p>
        </w:tc>
        <w:tc>
          <w:tcPr>
            <w:tcW w:type="dxa" w:w="3969"/>
          </w:tcPr>
          <w:p>
            <w:pPr>
              <w:jc w:val="center"/>
            </w:pPr>
            <w:r/>
            <w:r>
              <w:rPr>
                <w:rFonts w:ascii="Times New Roman" w:hAnsi="Times New Roman" w:eastAsia="宋体"/>
                <w:sz w:val="20"/>
              </w:rPr>
              <w:t>6个监测点×60天×96条/天</w:t>
            </w:r>
          </w:p>
        </w:tc>
      </w:tr>
      <w:tr>
        <w:tc>
          <w:tcPr>
            <w:tcW w:type="dxa" w:w="2268"/>
            <w:shd w:fill="D9E2F3" w:val="clear"/>
          </w:tcPr>
          <w:p>
            <w:pPr>
              <w:jc w:val="center"/>
            </w:pPr>
            <w:r/>
            <w:r>
              <w:rPr>
                <w:rFonts w:ascii="Times New Roman" w:hAnsi="Times New Roman" w:eastAsia="宋体"/>
                <w:sz w:val="20"/>
              </w:rPr>
              <w:t>气象数据记录</w:t>
            </w:r>
          </w:p>
        </w:tc>
        <w:tc>
          <w:tcPr>
            <w:tcW w:type="dxa" w:w="1701"/>
            <w:shd w:fill="D9E2F3" w:val="clear"/>
          </w:tcPr>
          <w:p>
            <w:pPr>
              <w:jc w:val="center"/>
            </w:pPr>
            <w:r/>
            <w:r>
              <w:rPr>
                <w:rFonts w:ascii="Times New Roman" w:hAnsi="Times New Roman" w:eastAsia="宋体"/>
                <w:sz w:val="20"/>
              </w:rPr>
              <w:t>480条</w:t>
            </w:r>
          </w:p>
        </w:tc>
        <w:tc>
          <w:tcPr>
            <w:tcW w:type="dxa" w:w="3969"/>
            <w:shd w:fill="D9E2F3" w:val="clear"/>
          </w:tcPr>
          <w:p>
            <w:pPr>
              <w:jc w:val="center"/>
            </w:pPr>
            <w:r/>
            <w:r>
              <w:rPr>
                <w:rFonts w:ascii="Times New Roman" w:hAnsi="Times New Roman" w:eastAsia="宋体"/>
                <w:sz w:val="20"/>
              </w:rPr>
              <w:t>60天×8条/天</w:t>
            </w:r>
          </w:p>
        </w:tc>
      </w:tr>
      <w:tr>
        <w:tc>
          <w:tcPr>
            <w:tcW w:type="dxa" w:w="2268"/>
          </w:tcPr>
          <w:p>
            <w:pPr>
              <w:jc w:val="center"/>
            </w:pPr>
            <w:r/>
            <w:r>
              <w:rPr>
                <w:rFonts w:ascii="Times New Roman" w:hAnsi="Times New Roman" w:eastAsia="宋体"/>
                <w:sz w:val="20"/>
              </w:rPr>
              <w:t>监测点位数</w:t>
            </w:r>
          </w:p>
        </w:tc>
        <w:tc>
          <w:tcPr>
            <w:tcW w:type="dxa" w:w="1701"/>
          </w:tcPr>
          <w:p>
            <w:pPr>
              <w:jc w:val="center"/>
            </w:pPr>
            <w:r/>
            <w:r>
              <w:rPr>
                <w:rFonts w:ascii="Times New Roman" w:hAnsi="Times New Roman" w:eastAsia="宋体"/>
                <w:sz w:val="20"/>
              </w:rPr>
              <w:t>6个</w:t>
            </w:r>
          </w:p>
        </w:tc>
        <w:tc>
          <w:tcPr>
            <w:tcW w:type="dxa" w:w="3969"/>
          </w:tcPr>
          <w:p>
            <w:pPr>
              <w:jc w:val="center"/>
            </w:pPr>
            <w:r/>
            <w:r>
              <w:rPr>
                <w:rFonts w:ascii="Times New Roman" w:hAnsi="Times New Roman" w:eastAsia="宋体"/>
                <w:sz w:val="20"/>
              </w:rPr>
              <w:t>Main Road, Commercial, Residential等</w:t>
            </w:r>
          </w:p>
        </w:tc>
      </w:tr>
      <w:tr>
        <w:tc>
          <w:tcPr>
            <w:tcW w:type="dxa" w:w="2268"/>
            <w:shd w:fill="D9E2F3" w:val="clear"/>
          </w:tcPr>
          <w:p>
            <w:pPr>
              <w:jc w:val="center"/>
            </w:pPr>
            <w:r/>
            <w:r>
              <w:rPr>
                <w:rFonts w:ascii="Times New Roman" w:hAnsi="Times New Roman" w:eastAsia="宋体"/>
                <w:sz w:val="20"/>
              </w:rPr>
              <w:t>特征维度</w:t>
            </w:r>
          </w:p>
        </w:tc>
        <w:tc>
          <w:tcPr>
            <w:tcW w:type="dxa" w:w="1701"/>
            <w:shd w:fill="D9E2F3" w:val="clear"/>
          </w:tcPr>
          <w:p>
            <w:pPr>
              <w:jc w:val="center"/>
            </w:pPr>
            <w:r/>
            <w:r>
              <w:rPr>
                <w:rFonts w:ascii="Times New Roman" w:hAnsi="Times New Roman" w:eastAsia="宋体"/>
                <w:sz w:val="20"/>
              </w:rPr>
              <w:t>8维</w:t>
            </w:r>
          </w:p>
        </w:tc>
        <w:tc>
          <w:tcPr>
            <w:tcW w:type="dxa" w:w="3969"/>
            <w:shd w:fill="D9E2F3" w:val="clear"/>
          </w:tcPr>
          <w:p>
            <w:pPr>
              <w:jc w:val="center"/>
            </w:pPr>
            <w:r/>
            <w:r>
              <w:rPr>
                <w:rFonts w:ascii="Times New Roman" w:hAnsi="Times New Roman" w:eastAsia="宋体"/>
                <w:sz w:val="20"/>
              </w:rPr>
              <w:t>总流量、车辆数、行人数、速度等</w:t>
            </w:r>
          </w:p>
        </w:tc>
      </w:tr>
      <w:tr>
        <w:tc>
          <w:tcPr>
            <w:tcW w:type="dxa" w:w="2268"/>
          </w:tcPr>
          <w:p>
            <w:pPr>
              <w:jc w:val="center"/>
            </w:pPr>
            <w:r/>
            <w:r>
              <w:rPr>
                <w:rFonts w:ascii="Times New Roman" w:hAnsi="Times New Roman" w:eastAsia="宋体"/>
                <w:sz w:val="20"/>
              </w:rPr>
              <w:t>训练集</w:t>
            </w:r>
          </w:p>
        </w:tc>
        <w:tc>
          <w:tcPr>
            <w:tcW w:type="dxa" w:w="1701"/>
          </w:tcPr>
          <w:p>
            <w:pPr>
              <w:jc w:val="center"/>
            </w:pPr>
            <w:r/>
            <w:r>
              <w:rPr>
                <w:rFonts w:ascii="Times New Roman" w:hAnsi="Times New Roman" w:eastAsia="宋体"/>
                <w:sz w:val="20"/>
              </w:rPr>
              <w:t>4,015条</w:t>
            </w:r>
          </w:p>
        </w:tc>
        <w:tc>
          <w:tcPr>
            <w:tcW w:type="dxa" w:w="3969"/>
          </w:tcPr>
          <w:p>
            <w:pPr>
              <w:jc w:val="center"/>
            </w:pPr>
            <w:r/>
            <w:r>
              <w:rPr>
                <w:rFonts w:ascii="Times New Roman" w:hAnsi="Times New Roman" w:eastAsia="宋体"/>
                <w:sz w:val="20"/>
              </w:rPr>
              <w:t>占比70%</w:t>
            </w:r>
          </w:p>
        </w:tc>
      </w:tr>
      <w:tr>
        <w:tc>
          <w:tcPr>
            <w:tcW w:type="dxa" w:w="2268"/>
            <w:shd w:fill="D9E2F3" w:val="clear"/>
          </w:tcPr>
          <w:p>
            <w:pPr>
              <w:jc w:val="center"/>
            </w:pPr>
            <w:r/>
            <w:r>
              <w:rPr>
                <w:rFonts w:ascii="Times New Roman" w:hAnsi="Times New Roman" w:eastAsia="宋体"/>
                <w:sz w:val="20"/>
              </w:rPr>
              <w:t>验证集</w:t>
            </w:r>
          </w:p>
        </w:tc>
        <w:tc>
          <w:tcPr>
            <w:tcW w:type="dxa" w:w="1701"/>
            <w:shd w:fill="D9E2F3" w:val="clear"/>
          </w:tcPr>
          <w:p>
            <w:pPr>
              <w:jc w:val="center"/>
            </w:pPr>
            <w:r/>
            <w:r>
              <w:rPr>
                <w:rFonts w:ascii="Times New Roman" w:hAnsi="Times New Roman" w:eastAsia="宋体"/>
                <w:sz w:val="20"/>
              </w:rPr>
              <w:t>860条</w:t>
            </w:r>
          </w:p>
        </w:tc>
        <w:tc>
          <w:tcPr>
            <w:tcW w:type="dxa" w:w="3969"/>
            <w:shd w:fill="D9E2F3" w:val="clear"/>
          </w:tcPr>
          <w:p>
            <w:pPr>
              <w:jc w:val="center"/>
            </w:pPr>
            <w:r/>
            <w:r>
              <w:rPr>
                <w:rFonts w:ascii="Times New Roman" w:hAnsi="Times New Roman" w:eastAsia="宋体"/>
                <w:sz w:val="20"/>
              </w:rPr>
              <w:t>占比15%</w:t>
            </w:r>
          </w:p>
        </w:tc>
      </w:tr>
      <w:tr>
        <w:tc>
          <w:tcPr>
            <w:tcW w:type="dxa" w:w="2268"/>
          </w:tcPr>
          <w:p>
            <w:pPr>
              <w:jc w:val="center"/>
            </w:pPr>
            <w:r/>
            <w:r>
              <w:rPr>
                <w:rFonts w:ascii="Times New Roman" w:hAnsi="Times New Roman" w:eastAsia="宋体"/>
                <w:sz w:val="20"/>
              </w:rPr>
              <w:t>测试集</w:t>
            </w:r>
          </w:p>
        </w:tc>
        <w:tc>
          <w:tcPr>
            <w:tcW w:type="dxa" w:w="1701"/>
          </w:tcPr>
          <w:p>
            <w:pPr>
              <w:jc w:val="center"/>
            </w:pPr>
            <w:r/>
            <w:r>
              <w:rPr>
                <w:rFonts w:ascii="Times New Roman" w:hAnsi="Times New Roman" w:eastAsia="宋体"/>
                <w:sz w:val="20"/>
              </w:rPr>
              <w:t>861条</w:t>
            </w:r>
          </w:p>
        </w:tc>
        <w:tc>
          <w:tcPr>
            <w:tcW w:type="dxa" w:w="3969"/>
          </w:tcPr>
          <w:p>
            <w:pPr>
              <w:jc w:val="center"/>
            </w:pPr>
            <w:r/>
            <w:r>
              <w:rPr>
                <w:rFonts w:ascii="Times New Roman" w:hAnsi="Times New Roman" w:eastAsia="宋体"/>
                <w:sz w:val="20"/>
              </w:rPr>
              <w:t>占比15%</w:t>
            </w:r>
          </w:p>
        </w:tc>
      </w:tr>
      <w:tr>
        <w:tc>
          <w:tcPr>
            <w:tcW w:type="dxa" w:w="2268"/>
            <w:shd w:fill="D9E2F3" w:val="clear"/>
          </w:tcPr>
          <w:p>
            <w:pPr>
              <w:jc w:val="center"/>
            </w:pPr>
            <w:r/>
            <w:r>
              <w:rPr>
                <w:rFonts w:ascii="Times New Roman" w:hAnsi="Times New Roman" w:eastAsia="宋体"/>
                <w:sz w:val="20"/>
              </w:rPr>
              <w:t>序列窗口长度</w:t>
            </w:r>
          </w:p>
        </w:tc>
        <w:tc>
          <w:tcPr>
            <w:tcW w:type="dxa" w:w="1701"/>
            <w:shd w:fill="D9E2F3" w:val="clear"/>
          </w:tcPr>
          <w:p>
            <w:pPr>
              <w:jc w:val="center"/>
            </w:pPr>
            <w:r/>
            <w:r>
              <w:rPr>
                <w:rFonts w:ascii="Times New Roman" w:hAnsi="Times New Roman" w:eastAsia="宋体"/>
                <w:sz w:val="20"/>
              </w:rPr>
              <w:t>24步</w:t>
            </w:r>
          </w:p>
        </w:tc>
        <w:tc>
          <w:tcPr>
            <w:tcW w:type="dxa" w:w="3969"/>
            <w:shd w:fill="D9E2F3" w:val="clear"/>
          </w:tcPr>
          <w:p>
            <w:pPr>
              <w:jc w:val="center"/>
            </w:pPr>
            <w:r/>
            <w:r>
              <w:rPr>
                <w:rFonts w:ascii="Times New Roman" w:hAnsi="Times New Roman" w:eastAsia="宋体"/>
                <w:sz w:val="20"/>
              </w:rPr>
              <w:t>默认值，可调节</w:t>
            </w:r>
          </w:p>
        </w:tc>
      </w:tr>
    </w:tbl>
    <w:p/>
    <w:p>
      <w:pPr>
        <w:pStyle w:val="Heading2"/>
      </w:pPr>
      <w:r>
        <w:rPr>
          <w:rFonts w:ascii="黑体" w:hAnsi="黑体" w:eastAsia="黑体"/>
        </w:rPr>
        <w:t>4.1.3 数据特征分析</w:t>
      </w:r>
    </w:p>
    <w:p>
      <w:pPr>
        <w:spacing w:line="360" w:lineRule="auto"/>
        <w:ind w:firstLine="420"/>
      </w:pPr>
      <w:r>
        <w:rPr>
          <w:rFonts w:ascii="宋体" w:hAnsi="宋体" w:eastAsia="宋体"/>
          <w:sz w:val="24"/>
        </w:rPr>
        <w:t>为深入理解交通流量数据的内在特征和规律，本节从多个维度对数据进行了探索性分析，如图4-2所示。</w:t>
      </w:r>
    </w:p>
    <w:p>
      <w:pPr>
        <w:jc w:val="center"/>
      </w:pPr>
      <w:r>
        <w:drawing>
          <wp:inline xmlns:a="http://schemas.openxmlformats.org/drawingml/2006/main" xmlns:pic="http://schemas.openxmlformats.org/drawingml/2006/picture">
            <wp:extent cx="5669280" cy="3457394"/>
            <wp:docPr id="2" name="Picture 2"/>
            <wp:cNvGraphicFramePr>
              <a:graphicFrameLocks noChangeAspect="1"/>
            </wp:cNvGraphicFramePr>
            <a:graphic>
              <a:graphicData uri="http://schemas.openxmlformats.org/drawingml/2006/picture">
                <pic:pic>
                  <pic:nvPicPr>
                    <pic:cNvPr id="0" name="exp2_feature_analysis.png"/>
                    <pic:cNvPicPr/>
                  </pic:nvPicPr>
                  <pic:blipFill>
                    <a:blip r:embed="rId10"/>
                    <a:stretch>
                      <a:fillRect/>
                    </a:stretch>
                  </pic:blipFill>
                  <pic:spPr>
                    <a:xfrm>
                      <a:off x="0" y="0"/>
                      <a:ext cx="5669280" cy="3457394"/>
                    </a:xfrm>
                    <a:prstGeom prst="rect"/>
                  </pic:spPr>
                </pic:pic>
              </a:graphicData>
            </a:graphic>
          </wp:inline>
        </w:drawing>
      </w:r>
    </w:p>
    <w:p>
      <w:pPr>
        <w:jc w:val="center"/>
      </w:pPr>
      <w:r>
        <w:rPr>
          <w:rFonts w:ascii="宋体" w:hAnsi="宋体" w:eastAsia="宋体"/>
          <w:b/>
          <w:sz w:val="21"/>
        </w:rPr>
        <w:t>图4-2 数据特征相关性与分布分析</w:t>
      </w:r>
    </w:p>
    <w:p>
      <w:pPr>
        <w:spacing w:line="360" w:lineRule="auto"/>
        <w:ind w:firstLine="420"/>
      </w:pPr>
      <w:r>
        <w:rPr>
          <w:rFonts w:ascii="宋体" w:hAnsi="宋体" w:eastAsia="宋体"/>
          <w:sz w:val="24"/>
        </w:rPr>
        <w:t>图4-2展示了六个方面的数据特征分析：（1）特征相关性矩阵显示车辆数与总流量高度正相关，平均速度与流量呈负相关关系，这符合交通流量-速度的基本物理规律；（2）总流量呈现近似正态分布，均值和标准差反映了流量的集中趋势和离散程度；（3）平均速度分布特征揭示了不同交通状态下的速度变化范围；（4）周交通模式热力图清晰展示了工作日双峰（早晚高峰）和周末单峰的典型模式；（5）自相关函数分析证实了流量数据具有显著的日周期性（96步≈24小时），为选择序列窗口长度提供了理论依据；（6）天气类型分布反映了实验期间的气象条件构成。</w:t>
      </w:r>
    </w:p>
    <w:p>
      <w:pPr>
        <w:pStyle w:val="Heading1"/>
      </w:pPr>
      <w:r>
        <w:rPr>
          <w:rFonts w:ascii="黑体" w:hAnsi="黑体" w:eastAsia="黑体"/>
        </w:rPr>
        <w:t>4.2 模型结构与训练策略</w:t>
      </w:r>
    </w:p>
    <w:p>
      <w:pPr>
        <w:pStyle w:val="Heading2"/>
      </w:pPr>
      <w:r>
        <w:rPr>
          <w:rFonts w:ascii="黑体" w:hAnsi="黑体" w:eastAsia="黑体"/>
        </w:rPr>
        <w:t>4.2.1 LSTM模型</w:t>
      </w:r>
    </w:p>
    <w:p>
      <w:pPr>
        <w:spacing w:line="360" w:lineRule="auto"/>
        <w:ind w:firstLine="420"/>
      </w:pPr>
      <w:r>
        <w:rPr>
          <w:rFonts w:ascii="宋体" w:hAnsi="宋体" w:eastAsia="宋体"/>
          <w:sz w:val="24"/>
        </w:rPr>
        <w:t>LSTM（长短期记忆网络）模型是处理时间序列数据的经典深度学习架构。本实验采用的LSTM模型包含2层LSTM单元，隐藏层维度为64，并在每层之间加入Dropout正则化层（丢弃率0.2）以防止过拟合。LSTM层后接两个全连接层，分别将64维特征映射到32维和1维输出。模型使用ReLU激活函数和MSE损失函数，优化器选择Adam（学习率0.001）。</w:t>
      </w:r>
    </w:p>
    <w:p>
      <w:pPr>
        <w:spacing w:line="360" w:lineRule="auto"/>
        <w:ind w:firstLine="420"/>
      </w:pPr>
      <w:r>
        <w:rPr>
          <w:rFonts w:ascii="宋体" w:hAnsi="宋体" w:eastAsia="宋体"/>
          <w:sz w:val="24"/>
        </w:rPr>
        <w:t>LSTM模型的核心优势在于其门控机制（遗忘门、输入门、输出门），能够有效捕捉交通流量数据中的长期时间依赖关系。例如，工作日早晚高峰的周期性模式、节假日效应等时间特征都能被LSTM很好地学习和记忆。</w:t>
      </w:r>
    </w:p>
    <w:p>
      <w:pPr>
        <w:pStyle w:val="Heading2"/>
      </w:pPr>
      <w:r>
        <w:rPr>
          <w:rFonts w:ascii="黑体" w:hAnsi="黑体" w:eastAsia="黑体"/>
        </w:rPr>
        <w:t>4.2.2 CNN模型</w:t>
      </w:r>
    </w:p>
    <w:p>
      <w:pPr>
        <w:spacing w:line="360" w:lineRule="auto"/>
        <w:ind w:firstLine="420"/>
      </w:pPr>
      <w:r>
        <w:rPr>
          <w:rFonts w:ascii="宋体" w:hAnsi="宋体" w:eastAsia="宋体"/>
          <w:sz w:val="24"/>
        </w:rPr>
        <w:t>CNN（卷积神经网络）模型利用一维卷积操作提取交通流量时间序列中的局部时间模式。本实验设计了3层一维卷积结构，卷积核大小为3，通道数从输入特征数逐步扩展到64、128、64。每个卷积层后接BatchNorm归一化和ReLU激活函数，并使用MaxPool1d进行下采样。最终通过自适应平均池化和全连接层输出预测值。</w:t>
      </w:r>
    </w:p>
    <w:p>
      <w:pPr>
        <w:spacing w:line="360" w:lineRule="auto"/>
        <w:ind w:firstLine="420"/>
      </w:pPr>
      <w:r>
        <w:rPr>
          <w:rFonts w:ascii="宋体" w:hAnsi="宋体" w:eastAsia="宋体"/>
          <w:sz w:val="24"/>
        </w:rPr>
        <w:t>CNN模型的优势在于计算效率高，能够并行处理时间序列中的局部特征。与LSTM相比，CNN在捕捉短期时间模式（如小时级流量波动）方面表现出色，训练速度也显著更快。</w:t>
      </w:r>
    </w:p>
    <w:p>
      <w:pPr>
        <w:pStyle w:val="Heading2"/>
      </w:pPr>
      <w:r>
        <w:rPr>
          <w:rFonts w:ascii="黑体" w:hAnsi="黑体" w:eastAsia="黑体"/>
        </w:rPr>
        <w:t>4.2.3 LSTM+CNN混合模型</w:t>
      </w:r>
    </w:p>
    <w:p>
      <w:pPr>
        <w:spacing w:line="360" w:lineRule="auto"/>
        <w:ind w:firstLine="420"/>
      </w:pPr>
      <w:r>
        <w:rPr>
          <w:rFonts w:ascii="宋体" w:hAnsi="宋体" w:eastAsia="宋体"/>
          <w:sz w:val="24"/>
        </w:rPr>
        <w:t>LSTM+CNN混合模型是本系统的核心预测算法，融合了CNN的局部特征提取能力和LSTM的长期序列建模能力，并引入了注意力机制（Attention）进行特征加权。模型结构分为三个分支：</w:t>
      </w:r>
    </w:p>
    <w:p>
      <w:pPr>
        <w:spacing w:line="360" w:lineRule="auto"/>
        <w:ind w:firstLine="420"/>
      </w:pPr>
      <w:r>
        <w:rPr>
          <w:rFonts w:ascii="宋体" w:hAnsi="宋体" w:eastAsia="宋体"/>
          <w:sz w:val="24"/>
        </w:rPr>
        <w:t>（1）CNN分支：采用两层一维卷积（通道数64和32），提取时间序列中的局部时间模式特征，如小时级别的流量波动规律。</w:t>
      </w:r>
    </w:p>
    <w:p>
      <w:pPr>
        <w:spacing w:line="360" w:lineRule="auto"/>
        <w:ind w:firstLine="420"/>
      </w:pPr>
      <w:r>
        <w:rPr>
          <w:rFonts w:ascii="宋体" w:hAnsi="宋体" w:eastAsia="宋体"/>
          <w:sz w:val="24"/>
        </w:rPr>
        <w:t>（2）LSTM分支：采用2层LSTM（隐藏维度64），在CNN提取的特征基础上进一步建模长期时间依赖关系，捕捉日级、周级的周期性模式。</w:t>
      </w:r>
    </w:p>
    <w:p>
      <w:pPr>
        <w:spacing w:line="360" w:lineRule="auto"/>
        <w:ind w:firstLine="420"/>
      </w:pPr>
      <w:r>
        <w:rPr>
          <w:rFonts w:ascii="宋体" w:hAnsi="宋体" w:eastAsia="宋体"/>
          <w:sz w:val="24"/>
        </w:rPr>
        <w:t>（3）注意力机制：对LSTM各时间步的输出进行自适应加权，使模型自动关注对当前预测最重要的历史时间步信息，显著提升了预测精度。</w:t>
      </w:r>
    </w:p>
    <w:p>
      <w:pPr>
        <w:spacing w:line="360" w:lineRule="auto"/>
        <w:ind w:firstLine="420"/>
      </w:pPr>
      <w:r>
        <w:rPr>
          <w:rFonts w:ascii="宋体" w:hAnsi="宋体" w:eastAsia="宋体"/>
          <w:sz w:val="24"/>
        </w:rPr>
        <w:t>最终，注意力加权后的特征通过两层全连接网络（64→32→1）输出预测结果。该混合模型参数量为70,562个，结合了多种技术优势，在实验中取得了最佳的预测性能。</w:t>
      </w:r>
    </w:p>
    <w:p>
      <w:pPr>
        <w:pStyle w:val="Heading2"/>
      </w:pPr>
      <w:r>
        <w:rPr>
          <w:rFonts w:ascii="黑体" w:hAnsi="黑体" w:eastAsia="黑体"/>
        </w:rPr>
        <w:t>4.2.4 协同过滤算法</w:t>
      </w:r>
    </w:p>
    <w:p>
      <w:pPr>
        <w:spacing w:line="360" w:lineRule="auto"/>
        <w:ind w:firstLine="420"/>
      </w:pPr>
      <w:r>
        <w:rPr>
          <w:rFonts w:ascii="宋体" w:hAnsi="宋体" w:eastAsia="宋体"/>
          <w:sz w:val="24"/>
        </w:rPr>
        <w:t>协同过滤算法是一种基于相似性的推荐算法，本系统将其创新性地应用于交通流量预测场景。其核心思想是：地理位置相似或功能相似的监测点位在交通流量模式上也具有相似性。当某一监测点位的历史数据不足时，可以利用相似点位的数据进行辅助预测。</w:t>
      </w:r>
    </w:p>
    <w:p>
      <w:pPr>
        <w:spacing w:line="360" w:lineRule="auto"/>
        <w:ind w:firstLine="420"/>
      </w:pPr>
      <w:r>
        <w:rPr>
          <w:rFonts w:ascii="宋体" w:hAnsi="宋体" w:eastAsia="宋体"/>
          <w:sz w:val="24"/>
        </w:rPr>
        <w:t>具体实现上，首先构建位置-时段矩阵（6×24），计算各监测点位之间的余弦相似度，选取相似度最高的K个邻居点位（默认K=3），通过加权平均获得预测结果。该方法作为深度学习模型的补充，在数据稀疏场景下具有独特优势。</w:t>
      </w:r>
    </w:p>
    <w:p>
      <w:pPr>
        <w:pStyle w:val="Heading2"/>
      </w:pPr>
      <w:r>
        <w:rPr>
          <w:rFonts w:ascii="黑体" w:hAnsi="黑体" w:eastAsia="黑体"/>
        </w:rPr>
        <w:t>4.2.5 训练策略</w:t>
      </w:r>
    </w:p>
    <w:p>
      <w:pPr>
        <w:spacing w:line="360" w:lineRule="auto"/>
        <w:ind w:firstLine="420"/>
      </w:pPr>
      <w:r>
        <w:rPr>
          <w:rFonts w:ascii="宋体" w:hAnsi="宋体" w:eastAsia="宋体"/>
          <w:sz w:val="24"/>
        </w:rPr>
        <w:t>所有深度学习模型均采用统一的训练策略以保证实验的公平性和可比性。具体训练参数如表4-3所示。训练过程中采用早停机制（Early Stopping），当验证集损失连续20个epoch未改善时提前终止训练，防止过拟合的同时节省计算资源。同时使用ReduceLROnPlateau学习率调度策略，在验证损失停滞时自动降低学习率。</w:t>
      </w:r>
    </w:p>
    <w:p>
      <w:pPr>
        <w:jc w:val="center"/>
      </w:pPr>
      <w:r>
        <w:rPr>
          <w:rFonts w:ascii="宋体" w:hAnsi="宋体" w:eastAsia="宋体"/>
          <w:b/>
          <w:sz w:val="21"/>
        </w:rPr>
        <w:t>表4-3 模型训练参数配置</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4472C4" w:val="clear"/>
          </w:tcPr>
          <w:p>
            <w:pPr>
              <w:jc w:val="center"/>
            </w:pPr>
            <w:r/>
            <w:r>
              <w:rPr>
                <w:rFonts w:ascii="宋体" w:hAnsi="宋体" w:eastAsia="宋体"/>
                <w:b/>
                <w:color w:val="FFFFFF"/>
                <w:sz w:val="20"/>
              </w:rPr>
              <w:t>参数</w:t>
            </w:r>
          </w:p>
        </w:tc>
        <w:tc>
          <w:tcPr>
            <w:tcW w:type="dxa" w:w="1701"/>
            <w:shd w:fill="4472C4" w:val="clear"/>
          </w:tcPr>
          <w:p>
            <w:pPr>
              <w:jc w:val="center"/>
            </w:pPr>
            <w:r/>
            <w:r>
              <w:rPr>
                <w:rFonts w:ascii="宋体" w:hAnsi="宋体" w:eastAsia="宋体"/>
                <w:b/>
                <w:color w:val="FFFFFF"/>
                <w:sz w:val="20"/>
              </w:rPr>
              <w:t>设置值</w:t>
            </w:r>
          </w:p>
        </w:tc>
        <w:tc>
          <w:tcPr>
            <w:tcW w:type="dxa" w:w="3969"/>
            <w:shd w:fill="4472C4" w:val="clear"/>
          </w:tcPr>
          <w:p>
            <w:pPr>
              <w:jc w:val="center"/>
            </w:pPr>
            <w:r/>
            <w:r>
              <w:rPr>
                <w:rFonts w:ascii="宋体" w:hAnsi="宋体" w:eastAsia="宋体"/>
                <w:b/>
                <w:color w:val="FFFFFF"/>
                <w:sz w:val="20"/>
              </w:rPr>
              <w:t>说明</w:t>
            </w:r>
          </w:p>
        </w:tc>
      </w:tr>
      <w:tr>
        <w:tc>
          <w:tcPr>
            <w:tcW w:type="dxa" w:w="2268"/>
          </w:tcPr>
          <w:p>
            <w:pPr>
              <w:jc w:val="center"/>
            </w:pPr>
            <w:r/>
            <w:r>
              <w:rPr>
                <w:rFonts w:ascii="Times New Roman" w:hAnsi="Times New Roman" w:eastAsia="宋体"/>
                <w:sz w:val="20"/>
              </w:rPr>
              <w:t>最大训练轮次</w:t>
            </w:r>
          </w:p>
        </w:tc>
        <w:tc>
          <w:tcPr>
            <w:tcW w:type="dxa" w:w="1701"/>
          </w:tcPr>
          <w:p>
            <w:pPr>
              <w:jc w:val="center"/>
            </w:pPr>
            <w:r/>
            <w:r>
              <w:rPr>
                <w:rFonts w:ascii="Times New Roman" w:hAnsi="Times New Roman" w:eastAsia="宋体"/>
                <w:sz w:val="20"/>
              </w:rPr>
              <w:t>150</w:t>
            </w:r>
          </w:p>
        </w:tc>
        <w:tc>
          <w:tcPr>
            <w:tcW w:type="dxa" w:w="3969"/>
          </w:tcPr>
          <w:p>
            <w:pPr>
              <w:jc w:val="center"/>
            </w:pPr>
            <w:r/>
            <w:r>
              <w:rPr>
                <w:rFonts w:ascii="Times New Roman" w:hAnsi="Times New Roman" w:eastAsia="宋体"/>
                <w:sz w:val="20"/>
              </w:rPr>
              <w:t>含早停机制</w:t>
            </w:r>
          </w:p>
        </w:tc>
      </w:tr>
      <w:tr>
        <w:tc>
          <w:tcPr>
            <w:tcW w:type="dxa" w:w="2268"/>
            <w:shd w:fill="D9E2F3" w:val="clear"/>
          </w:tcPr>
          <w:p>
            <w:pPr>
              <w:jc w:val="center"/>
            </w:pPr>
            <w:r/>
            <w:r>
              <w:rPr>
                <w:rFonts w:ascii="Times New Roman" w:hAnsi="Times New Roman" w:eastAsia="宋体"/>
                <w:sz w:val="20"/>
              </w:rPr>
              <w:t>批次大小</w:t>
            </w:r>
          </w:p>
        </w:tc>
        <w:tc>
          <w:tcPr>
            <w:tcW w:type="dxa" w:w="1701"/>
            <w:shd w:fill="D9E2F3" w:val="clear"/>
          </w:tcPr>
          <w:p>
            <w:pPr>
              <w:jc w:val="center"/>
            </w:pPr>
            <w:r/>
            <w:r>
              <w:rPr>
                <w:rFonts w:ascii="Times New Roman" w:hAnsi="Times New Roman" w:eastAsia="宋体"/>
                <w:sz w:val="20"/>
              </w:rPr>
              <w:t>64</w:t>
            </w:r>
          </w:p>
        </w:tc>
        <w:tc>
          <w:tcPr>
            <w:tcW w:type="dxa" w:w="3969"/>
            <w:shd w:fill="D9E2F3" w:val="clear"/>
          </w:tcPr>
          <w:p>
            <w:pPr>
              <w:jc w:val="center"/>
            </w:pPr>
            <w:r/>
            <w:r>
              <w:rPr>
                <w:rFonts w:ascii="Times New Roman" w:hAnsi="Times New Roman" w:eastAsia="宋体"/>
                <w:sz w:val="20"/>
              </w:rPr>
              <w:t>平衡训练效率与泛化</w:t>
            </w:r>
          </w:p>
        </w:tc>
      </w:tr>
      <w:tr>
        <w:tc>
          <w:tcPr>
            <w:tcW w:type="dxa" w:w="2268"/>
          </w:tcPr>
          <w:p>
            <w:pPr>
              <w:jc w:val="center"/>
            </w:pPr>
            <w:r/>
            <w:r>
              <w:rPr>
                <w:rFonts w:ascii="Times New Roman" w:hAnsi="Times New Roman" w:eastAsia="宋体"/>
                <w:sz w:val="20"/>
              </w:rPr>
              <w:t>学习率</w:t>
            </w:r>
          </w:p>
        </w:tc>
        <w:tc>
          <w:tcPr>
            <w:tcW w:type="dxa" w:w="1701"/>
          </w:tcPr>
          <w:p>
            <w:pPr>
              <w:jc w:val="center"/>
            </w:pPr>
            <w:r/>
            <w:r>
              <w:rPr>
                <w:rFonts w:ascii="Times New Roman" w:hAnsi="Times New Roman" w:eastAsia="宋体"/>
                <w:sz w:val="20"/>
              </w:rPr>
              <w:t>0.001 / 0.0008</w:t>
            </w:r>
          </w:p>
        </w:tc>
        <w:tc>
          <w:tcPr>
            <w:tcW w:type="dxa" w:w="3969"/>
          </w:tcPr>
          <w:p>
            <w:pPr>
              <w:jc w:val="center"/>
            </w:pPr>
            <w:r/>
            <w:r>
              <w:rPr>
                <w:rFonts w:ascii="Times New Roman" w:hAnsi="Times New Roman" w:eastAsia="宋体"/>
                <w:sz w:val="20"/>
              </w:rPr>
              <w:t>LSTM&amp;CNN / Hybrid</w:t>
            </w:r>
          </w:p>
        </w:tc>
      </w:tr>
      <w:tr>
        <w:tc>
          <w:tcPr>
            <w:tcW w:type="dxa" w:w="2268"/>
            <w:shd w:fill="D9E2F3" w:val="clear"/>
          </w:tcPr>
          <w:p>
            <w:pPr>
              <w:jc w:val="center"/>
            </w:pPr>
            <w:r/>
            <w:r>
              <w:rPr>
                <w:rFonts w:ascii="Times New Roman" w:hAnsi="Times New Roman" w:eastAsia="宋体"/>
                <w:sz w:val="20"/>
              </w:rPr>
              <w:t>优化器</w:t>
            </w:r>
          </w:p>
        </w:tc>
        <w:tc>
          <w:tcPr>
            <w:tcW w:type="dxa" w:w="1701"/>
            <w:shd w:fill="D9E2F3" w:val="clear"/>
          </w:tcPr>
          <w:p>
            <w:pPr>
              <w:jc w:val="center"/>
            </w:pPr>
            <w:r/>
            <w:r>
              <w:rPr>
                <w:rFonts w:ascii="Times New Roman" w:hAnsi="Times New Roman" w:eastAsia="宋体"/>
                <w:sz w:val="20"/>
              </w:rPr>
              <w:t>Adam</w:t>
            </w:r>
          </w:p>
        </w:tc>
        <w:tc>
          <w:tcPr>
            <w:tcW w:type="dxa" w:w="3969"/>
            <w:shd w:fill="D9E2F3" w:val="clear"/>
          </w:tcPr>
          <w:p>
            <w:pPr>
              <w:jc w:val="center"/>
            </w:pPr>
            <w:r/>
            <w:r>
              <w:rPr>
                <w:rFonts w:ascii="Times New Roman" w:hAnsi="Times New Roman" w:eastAsia="宋体"/>
                <w:sz w:val="20"/>
              </w:rPr>
              <w:t>自适应学习率优化</w:t>
            </w:r>
          </w:p>
        </w:tc>
      </w:tr>
      <w:tr>
        <w:tc>
          <w:tcPr>
            <w:tcW w:type="dxa" w:w="2268"/>
          </w:tcPr>
          <w:p>
            <w:pPr>
              <w:jc w:val="center"/>
            </w:pPr>
            <w:r/>
            <w:r>
              <w:rPr>
                <w:rFonts w:ascii="Times New Roman" w:hAnsi="Times New Roman" w:eastAsia="宋体"/>
                <w:sz w:val="20"/>
              </w:rPr>
              <w:t>损失函数</w:t>
            </w:r>
          </w:p>
        </w:tc>
        <w:tc>
          <w:tcPr>
            <w:tcW w:type="dxa" w:w="1701"/>
          </w:tcPr>
          <w:p>
            <w:pPr>
              <w:jc w:val="center"/>
            </w:pPr>
            <w:r/>
            <w:r>
              <w:rPr>
                <w:rFonts w:ascii="Times New Roman" w:hAnsi="Times New Roman" w:eastAsia="宋体"/>
                <w:sz w:val="20"/>
              </w:rPr>
              <w:t>MSE</w:t>
            </w:r>
          </w:p>
        </w:tc>
        <w:tc>
          <w:tcPr>
            <w:tcW w:type="dxa" w:w="3969"/>
          </w:tcPr>
          <w:p>
            <w:pPr>
              <w:jc w:val="center"/>
            </w:pPr>
            <w:r/>
            <w:r>
              <w:rPr>
                <w:rFonts w:ascii="Times New Roman" w:hAnsi="Times New Roman" w:eastAsia="宋体"/>
                <w:sz w:val="20"/>
              </w:rPr>
              <w:t>均方误差</w:t>
            </w:r>
          </w:p>
        </w:tc>
      </w:tr>
      <w:tr>
        <w:tc>
          <w:tcPr>
            <w:tcW w:type="dxa" w:w="2268"/>
            <w:shd w:fill="D9E2F3" w:val="clear"/>
          </w:tcPr>
          <w:p>
            <w:pPr>
              <w:jc w:val="center"/>
            </w:pPr>
            <w:r/>
            <w:r>
              <w:rPr>
                <w:rFonts w:ascii="Times New Roman" w:hAnsi="Times New Roman" w:eastAsia="宋体"/>
                <w:sz w:val="20"/>
              </w:rPr>
              <w:t>早停耐心值</w:t>
            </w:r>
          </w:p>
        </w:tc>
        <w:tc>
          <w:tcPr>
            <w:tcW w:type="dxa" w:w="1701"/>
            <w:shd w:fill="D9E2F3" w:val="clear"/>
          </w:tcPr>
          <w:p>
            <w:pPr>
              <w:jc w:val="center"/>
            </w:pPr>
            <w:r/>
            <w:r>
              <w:rPr>
                <w:rFonts w:ascii="Times New Roman" w:hAnsi="Times New Roman" w:eastAsia="宋体"/>
                <w:sz w:val="20"/>
              </w:rPr>
              <w:t>20</w:t>
            </w:r>
          </w:p>
        </w:tc>
        <w:tc>
          <w:tcPr>
            <w:tcW w:type="dxa" w:w="3969"/>
            <w:shd w:fill="D9E2F3" w:val="clear"/>
          </w:tcPr>
          <w:p>
            <w:pPr>
              <w:jc w:val="center"/>
            </w:pPr>
            <w:r/>
            <w:r>
              <w:rPr>
                <w:rFonts w:ascii="Times New Roman" w:hAnsi="Times New Roman" w:eastAsia="宋体"/>
                <w:sz w:val="20"/>
              </w:rPr>
              <w:t>连续20轮无改善则停止</w:t>
            </w:r>
          </w:p>
        </w:tc>
      </w:tr>
      <w:tr>
        <w:tc>
          <w:tcPr>
            <w:tcW w:type="dxa" w:w="2268"/>
          </w:tcPr>
          <w:p>
            <w:pPr>
              <w:jc w:val="center"/>
            </w:pPr>
            <w:r/>
            <w:r>
              <w:rPr>
                <w:rFonts w:ascii="Times New Roman" w:hAnsi="Times New Roman" w:eastAsia="宋体"/>
                <w:sz w:val="20"/>
              </w:rPr>
              <w:t>学习率调度</w:t>
            </w:r>
          </w:p>
        </w:tc>
        <w:tc>
          <w:tcPr>
            <w:tcW w:type="dxa" w:w="1701"/>
          </w:tcPr>
          <w:p>
            <w:pPr>
              <w:jc w:val="center"/>
            </w:pPr>
            <w:r/>
            <w:r>
              <w:rPr>
                <w:rFonts w:ascii="Times New Roman" w:hAnsi="Times New Roman" w:eastAsia="宋体"/>
                <w:sz w:val="20"/>
              </w:rPr>
              <w:t>ReduceLROnPlateau</w:t>
            </w:r>
          </w:p>
        </w:tc>
        <w:tc>
          <w:tcPr>
            <w:tcW w:type="dxa" w:w="3969"/>
          </w:tcPr>
          <w:p>
            <w:pPr>
              <w:jc w:val="center"/>
            </w:pPr>
            <w:r/>
            <w:r>
              <w:rPr>
                <w:rFonts w:ascii="Times New Roman" w:hAnsi="Times New Roman" w:eastAsia="宋体"/>
                <w:sz w:val="20"/>
              </w:rPr>
              <w:t>验证损失停滞时×0.5</w:t>
            </w:r>
          </w:p>
        </w:tc>
      </w:tr>
      <w:tr>
        <w:tc>
          <w:tcPr>
            <w:tcW w:type="dxa" w:w="2268"/>
            <w:shd w:fill="D9E2F3" w:val="clear"/>
          </w:tcPr>
          <w:p>
            <w:pPr>
              <w:jc w:val="center"/>
            </w:pPr>
            <w:r/>
            <w:r>
              <w:rPr>
                <w:rFonts w:ascii="Times New Roman" w:hAnsi="Times New Roman" w:eastAsia="宋体"/>
                <w:sz w:val="20"/>
              </w:rPr>
              <w:t>梯度裁剪</w:t>
            </w:r>
          </w:p>
        </w:tc>
        <w:tc>
          <w:tcPr>
            <w:tcW w:type="dxa" w:w="1701"/>
            <w:shd w:fill="D9E2F3" w:val="clear"/>
          </w:tcPr>
          <w:p>
            <w:pPr>
              <w:jc w:val="center"/>
            </w:pPr>
            <w:r/>
            <w:r>
              <w:rPr>
                <w:rFonts w:ascii="Times New Roman" w:hAnsi="Times New Roman" w:eastAsia="宋体"/>
                <w:sz w:val="20"/>
              </w:rPr>
              <w:t>1.0</w:t>
            </w:r>
          </w:p>
        </w:tc>
        <w:tc>
          <w:tcPr>
            <w:tcW w:type="dxa" w:w="3969"/>
            <w:shd w:fill="D9E2F3" w:val="clear"/>
          </w:tcPr>
          <w:p>
            <w:pPr>
              <w:jc w:val="center"/>
            </w:pPr>
            <w:r/>
            <w:r>
              <w:rPr>
                <w:rFonts w:ascii="Times New Roman" w:hAnsi="Times New Roman" w:eastAsia="宋体"/>
                <w:sz w:val="20"/>
              </w:rPr>
              <w:t>防止梯度爆炸</w:t>
            </w:r>
          </w:p>
        </w:tc>
      </w:tr>
      <w:tr>
        <w:tc>
          <w:tcPr>
            <w:tcW w:type="dxa" w:w="2268"/>
          </w:tcPr>
          <w:p>
            <w:pPr>
              <w:jc w:val="center"/>
            </w:pPr>
            <w:r/>
            <w:r>
              <w:rPr>
                <w:rFonts w:ascii="Times New Roman" w:hAnsi="Times New Roman" w:eastAsia="宋体"/>
                <w:sz w:val="20"/>
              </w:rPr>
              <w:t>Dropout率</w:t>
            </w:r>
          </w:p>
        </w:tc>
        <w:tc>
          <w:tcPr>
            <w:tcW w:type="dxa" w:w="1701"/>
          </w:tcPr>
          <w:p>
            <w:pPr>
              <w:jc w:val="center"/>
            </w:pPr>
            <w:r/>
            <w:r>
              <w:rPr>
                <w:rFonts w:ascii="Times New Roman" w:hAnsi="Times New Roman" w:eastAsia="宋体"/>
                <w:sz w:val="20"/>
              </w:rPr>
              <w:t>0.2</w:t>
            </w:r>
          </w:p>
        </w:tc>
        <w:tc>
          <w:tcPr>
            <w:tcW w:type="dxa" w:w="3969"/>
          </w:tcPr>
          <w:p>
            <w:pPr>
              <w:jc w:val="center"/>
            </w:pPr>
            <w:r/>
            <w:r>
              <w:rPr>
                <w:rFonts w:ascii="Times New Roman" w:hAnsi="Times New Roman" w:eastAsia="宋体"/>
                <w:sz w:val="20"/>
              </w:rPr>
              <w:t>防止过拟合</w:t>
            </w:r>
          </w:p>
        </w:tc>
      </w:tr>
      <w:tr>
        <w:tc>
          <w:tcPr>
            <w:tcW w:type="dxa" w:w="2268"/>
            <w:shd w:fill="D9E2F3" w:val="clear"/>
          </w:tcPr>
          <w:p>
            <w:pPr>
              <w:jc w:val="center"/>
            </w:pPr>
            <w:r/>
            <w:r>
              <w:rPr>
                <w:rFonts w:ascii="Times New Roman" w:hAnsi="Times New Roman" w:eastAsia="宋体"/>
                <w:sz w:val="20"/>
              </w:rPr>
              <w:t>序列长度</w:t>
            </w:r>
          </w:p>
        </w:tc>
        <w:tc>
          <w:tcPr>
            <w:tcW w:type="dxa" w:w="1701"/>
            <w:shd w:fill="D9E2F3" w:val="clear"/>
          </w:tcPr>
          <w:p>
            <w:pPr>
              <w:jc w:val="center"/>
            </w:pPr>
            <w:r/>
            <w:r>
              <w:rPr>
                <w:rFonts w:ascii="Times New Roman" w:hAnsi="Times New Roman" w:eastAsia="宋体"/>
                <w:sz w:val="20"/>
              </w:rPr>
              <w:t>24</w:t>
            </w:r>
          </w:p>
        </w:tc>
        <w:tc>
          <w:tcPr>
            <w:tcW w:type="dxa" w:w="3969"/>
            <w:shd w:fill="D9E2F3" w:val="clear"/>
          </w:tcPr>
          <w:p>
            <w:pPr>
              <w:jc w:val="center"/>
            </w:pPr>
            <w:r/>
            <w:r>
              <w:rPr>
                <w:rFonts w:ascii="Times New Roman" w:hAnsi="Times New Roman" w:eastAsia="宋体"/>
                <w:sz w:val="20"/>
              </w:rPr>
              <w:t>默认24个时间步</w:t>
            </w:r>
          </w:p>
        </w:tc>
      </w:tr>
      <w:tr>
        <w:tc>
          <w:tcPr>
            <w:tcW w:type="dxa" w:w="2268"/>
          </w:tcPr>
          <w:p>
            <w:pPr>
              <w:jc w:val="center"/>
            </w:pPr>
            <w:r/>
            <w:r>
              <w:rPr>
                <w:rFonts w:ascii="Times New Roman" w:hAnsi="Times New Roman" w:eastAsia="宋体"/>
                <w:sz w:val="20"/>
              </w:rPr>
              <w:t>数据划分</w:t>
            </w:r>
          </w:p>
        </w:tc>
        <w:tc>
          <w:tcPr>
            <w:tcW w:type="dxa" w:w="1701"/>
          </w:tcPr>
          <w:p>
            <w:pPr>
              <w:jc w:val="center"/>
            </w:pPr>
            <w:r/>
            <w:r>
              <w:rPr>
                <w:rFonts w:ascii="Times New Roman" w:hAnsi="Times New Roman" w:eastAsia="宋体"/>
                <w:sz w:val="20"/>
              </w:rPr>
              <w:t>70/15/15</w:t>
            </w:r>
          </w:p>
        </w:tc>
        <w:tc>
          <w:tcPr>
            <w:tcW w:type="dxa" w:w="3969"/>
          </w:tcPr>
          <w:p>
            <w:pPr>
              <w:jc w:val="center"/>
            </w:pPr>
            <w:r/>
            <w:r>
              <w:rPr>
                <w:rFonts w:ascii="Times New Roman" w:hAnsi="Times New Roman" w:eastAsia="宋体"/>
                <w:sz w:val="20"/>
              </w:rPr>
              <w:t>训练/验证/测试</w:t>
            </w:r>
          </w:p>
        </w:tc>
      </w:tr>
      <w:tr>
        <w:tc>
          <w:tcPr>
            <w:tcW w:type="dxa" w:w="2268"/>
            <w:shd w:fill="D9E2F3" w:val="clear"/>
          </w:tcPr>
          <w:p>
            <w:pPr>
              <w:jc w:val="center"/>
            </w:pPr>
            <w:r/>
            <w:r>
              <w:rPr>
                <w:rFonts w:ascii="Times New Roman" w:hAnsi="Times New Roman" w:eastAsia="宋体"/>
                <w:sz w:val="20"/>
              </w:rPr>
              <w:t>归一化方法</w:t>
            </w:r>
          </w:p>
        </w:tc>
        <w:tc>
          <w:tcPr>
            <w:tcW w:type="dxa" w:w="1701"/>
            <w:shd w:fill="D9E2F3" w:val="clear"/>
          </w:tcPr>
          <w:p>
            <w:pPr>
              <w:jc w:val="center"/>
            </w:pPr>
            <w:r/>
            <w:r>
              <w:rPr>
                <w:rFonts w:ascii="Times New Roman" w:hAnsi="Times New Roman" w:eastAsia="宋体"/>
                <w:sz w:val="20"/>
              </w:rPr>
              <w:t>MinMaxScaler</w:t>
            </w:r>
          </w:p>
        </w:tc>
        <w:tc>
          <w:tcPr>
            <w:tcW w:type="dxa" w:w="3969"/>
            <w:shd w:fill="D9E2F3" w:val="clear"/>
          </w:tcPr>
          <w:p>
            <w:pPr>
              <w:jc w:val="center"/>
            </w:pPr>
            <w:r/>
            <w:r>
              <w:rPr>
                <w:rFonts w:ascii="Times New Roman" w:hAnsi="Times New Roman" w:eastAsia="宋体"/>
                <w:sz w:val="20"/>
              </w:rPr>
              <w:t>特征缩放至[0,1]</w:t>
            </w:r>
          </w:p>
        </w:tc>
      </w:tr>
    </w:tbl>
    <w:p/>
    <w:p>
      <w:pPr>
        <w:pStyle w:val="Heading1"/>
      </w:pPr>
      <w:r>
        <w:rPr>
          <w:rFonts w:ascii="黑体" w:hAnsi="黑体" w:eastAsia="黑体"/>
        </w:rPr>
        <w:t>4.3 模型训练过程分析</w:t>
      </w:r>
    </w:p>
    <w:p>
      <w:pPr>
        <w:pStyle w:val="Heading2"/>
      </w:pPr>
      <w:r>
        <w:rPr>
          <w:rFonts w:ascii="黑体" w:hAnsi="黑体" w:eastAsia="黑体"/>
        </w:rPr>
        <w:t>4.3.1 训练损失收敛分析</w:t>
      </w:r>
    </w:p>
    <w:p>
      <w:pPr>
        <w:spacing w:line="360" w:lineRule="auto"/>
        <w:ind w:firstLine="420"/>
      </w:pPr>
      <w:r>
        <w:rPr>
          <w:rFonts w:ascii="宋体" w:hAnsi="宋体" w:eastAsia="宋体"/>
          <w:sz w:val="24"/>
        </w:rPr>
        <w:t>图4-3展示了三个深度学习模型在训练过程中的损失函数收敛曲线。图中同时标注了各模型达到最佳验证损失的epoch位置。从图中可以观察到以下特点：</w:t>
      </w:r>
    </w:p>
    <w:p>
      <w:pPr>
        <w:spacing w:line="360" w:lineRule="auto"/>
        <w:ind w:firstLine="420"/>
      </w:pPr>
      <w:r>
        <w:rPr>
          <w:rFonts w:ascii="宋体" w:hAnsi="宋体" w:eastAsia="宋体"/>
          <w:sz w:val="24"/>
        </w:rPr>
        <w:t>（1）LSTM模型：训练曲线平滑下降，在约140个epoch后达到收敛，最终验证损失为0.00195。LSTM的训练过程最为稳定，总训练时间为87.1秒。</w:t>
      </w:r>
    </w:p>
    <w:p>
      <w:pPr>
        <w:spacing w:line="360" w:lineRule="auto"/>
        <w:ind w:firstLine="420"/>
      </w:pPr>
      <w:r>
        <w:rPr>
          <w:rFonts w:ascii="宋体" w:hAnsi="宋体" w:eastAsia="宋体"/>
          <w:sz w:val="24"/>
        </w:rPr>
        <w:t>（2）CNN模型：收敛速度最快，在第62个epoch处触发了早停机制。CNN的训练效率最高，总训练时间仅32.9秒，约为LSTM的38%。</w:t>
      </w:r>
    </w:p>
    <w:p>
      <w:pPr>
        <w:spacing w:line="360" w:lineRule="auto"/>
        <w:ind w:firstLine="420"/>
      </w:pPr>
      <w:r>
        <w:rPr>
          <w:rFonts w:ascii="宋体" w:hAnsi="宋体" w:eastAsia="宋体"/>
          <w:sz w:val="24"/>
        </w:rPr>
        <w:t>（3）LSTM+CNN混合模型：在第144个epoch处触发早停。混合模型训练时间为122.5秒，获得了最低的验证损失0.00184。</w:t>
      </w:r>
    </w:p>
    <w:p>
      <w:pPr>
        <w:jc w:val="center"/>
      </w:pPr>
      <w:r>
        <w:drawing>
          <wp:inline xmlns:a="http://schemas.openxmlformats.org/drawingml/2006/main" xmlns:pic="http://schemas.openxmlformats.org/drawingml/2006/picture">
            <wp:extent cx="5486400" cy="1506915"/>
            <wp:docPr id="3" name="Picture 3"/>
            <wp:cNvGraphicFramePr>
              <a:graphicFrameLocks noChangeAspect="1"/>
            </wp:cNvGraphicFramePr>
            <a:graphic>
              <a:graphicData uri="http://schemas.openxmlformats.org/drawingml/2006/picture">
                <pic:pic>
                  <pic:nvPicPr>
                    <pic:cNvPr id="0" name="exp3_training_curves.png"/>
                    <pic:cNvPicPr/>
                  </pic:nvPicPr>
                  <pic:blipFill>
                    <a:blip r:embed="rId11"/>
                    <a:stretch>
                      <a:fillRect/>
                    </a:stretch>
                  </pic:blipFill>
                  <pic:spPr>
                    <a:xfrm>
                      <a:off x="0" y="0"/>
                      <a:ext cx="5486400" cy="1506915"/>
                    </a:xfrm>
                    <a:prstGeom prst="rect"/>
                  </pic:spPr>
                </pic:pic>
              </a:graphicData>
            </a:graphic>
          </wp:inline>
        </w:drawing>
      </w:r>
    </w:p>
    <w:p>
      <w:pPr>
        <w:jc w:val="center"/>
      </w:pPr>
      <w:r>
        <w:rPr>
          <w:rFonts w:ascii="宋体" w:hAnsi="宋体" w:eastAsia="宋体"/>
          <w:b/>
          <w:sz w:val="21"/>
        </w:rPr>
        <w:t>图4-3 三种深度学习模型训练损失收敛曲线</w:t>
      </w:r>
    </w:p>
    <w:p>
      <w:pPr>
        <w:spacing w:line="360" w:lineRule="auto"/>
        <w:ind w:firstLine="420"/>
      </w:pPr>
      <w:r>
        <w:rPr>
          <w:rFonts w:ascii="宋体" w:hAnsi="宋体" w:eastAsia="宋体"/>
          <w:sz w:val="24"/>
        </w:rPr>
        <w:t>从训练曲线可以看出，所有模型的训练损失和验证损失均呈下降趋势，且两条曲线之间的差距较小，说明模型未出现严重的过拟合现象。早停机制和学习率调度策略有效地防止了过度训练，在保证模型性能的同时提高了训练效率。</w:t>
      </w:r>
    </w:p>
    <w:p>
      <w:pPr>
        <w:pStyle w:val="Heading1"/>
      </w:pPr>
      <w:r>
        <w:rPr>
          <w:rFonts w:ascii="黑体" w:hAnsi="黑体" w:eastAsia="黑体"/>
        </w:rPr>
        <w:t>4.4 模型性能对比分析</w:t>
      </w:r>
    </w:p>
    <w:p>
      <w:pPr>
        <w:pStyle w:val="Heading2"/>
      </w:pPr>
      <w:r>
        <w:rPr>
          <w:rFonts w:ascii="黑体" w:hAnsi="黑体" w:eastAsia="黑体"/>
        </w:rPr>
        <w:t>4.4.1 评估指标说明</w:t>
      </w:r>
    </w:p>
    <w:p>
      <w:pPr>
        <w:spacing w:line="360" w:lineRule="auto"/>
        <w:ind w:firstLine="420"/>
      </w:pPr>
      <w:r>
        <w:rPr>
          <w:rFonts w:ascii="宋体" w:hAnsi="宋体" w:eastAsia="宋体"/>
          <w:sz w:val="24"/>
        </w:rPr>
        <w:t>本实验采用四个标准回归评估指标对模型性能进行全面评价：</w:t>
      </w:r>
    </w:p>
    <w:p>
      <w:pPr>
        <w:spacing w:line="360" w:lineRule="auto"/>
        <w:ind w:firstLine="420"/>
      </w:pPr>
      <w:r>
        <w:rPr>
          <w:rFonts w:ascii="宋体" w:hAnsi="宋体" w:eastAsia="宋体"/>
          <w:sz w:val="24"/>
        </w:rPr>
        <w:t>（1）MAE（平均绝对误差）：衡量预测值与真实值之间的平均绝对偏差，单位与原始数据一致，直观反映预测的平均偏差程度。</w:t>
      </w:r>
    </w:p>
    <w:p>
      <w:pPr>
        <w:spacing w:line="360" w:lineRule="auto"/>
        <w:ind w:firstLine="420"/>
      </w:pPr>
      <w:r>
        <w:rPr>
          <w:rFonts w:ascii="宋体" w:hAnsi="宋体" w:eastAsia="宋体"/>
          <w:sz w:val="24"/>
        </w:rPr>
        <w:t>（2）RMSE（均方根误差）：对大误差更敏感，能够突出模型在异常值上的表现。RMSE越小，表示模型预测越稳定。</w:t>
      </w:r>
    </w:p>
    <w:p>
      <w:pPr>
        <w:spacing w:line="360" w:lineRule="auto"/>
        <w:ind w:firstLine="420"/>
      </w:pPr>
      <w:r>
        <w:rPr>
          <w:rFonts w:ascii="宋体" w:hAnsi="宋体" w:eastAsia="宋体"/>
          <w:sz w:val="24"/>
        </w:rPr>
        <w:t>（3）MAPE（平均绝对百分比误差）：以百分比形式表示预测误差的相对大小，便于跨数据集和跨领域的比较。</w:t>
      </w:r>
    </w:p>
    <w:p>
      <w:pPr>
        <w:spacing w:line="360" w:lineRule="auto"/>
        <w:ind w:firstLine="420"/>
      </w:pPr>
      <w:r>
        <w:rPr>
          <w:rFonts w:ascii="宋体" w:hAnsi="宋体" w:eastAsia="宋体"/>
          <w:sz w:val="24"/>
        </w:rPr>
        <w:t>（4）R²（决定系数）：衡量模型对数据变异性的解释能力，取值范围[0,1]，越接近1表示模型拟合效果越好。</w:t>
      </w:r>
    </w:p>
    <w:p>
      <w:pPr>
        <w:pStyle w:val="Heading2"/>
      </w:pPr>
      <w:r>
        <w:rPr>
          <w:rFonts w:ascii="黑体" w:hAnsi="黑体" w:eastAsia="黑体"/>
        </w:rPr>
        <w:t>4.4.2 总体性能对比</w:t>
      </w:r>
    </w:p>
    <w:p>
      <w:pPr>
        <w:spacing w:line="360" w:lineRule="auto"/>
        <w:ind w:firstLine="420"/>
      </w:pPr>
      <w:r>
        <w:rPr>
          <w:rFonts w:ascii="宋体" w:hAnsi="宋体" w:eastAsia="宋体"/>
          <w:sz w:val="24"/>
        </w:rPr>
        <w:t>表4-4展示了四种预测模型在测试集上的性能对比结果。从各项指标来看，LSTM+CNN混合模型在MAE、RMSE和R²三个指标上均取得了最优表现，充分验证了混合架构的有效性。</w:t>
      </w:r>
    </w:p>
    <w:p>
      <w:pPr>
        <w:jc w:val="center"/>
      </w:pPr>
      <w:r>
        <w:rPr>
          <w:rFonts w:ascii="宋体" w:hAnsi="宋体" w:eastAsia="宋体"/>
          <w:b/>
          <w:sz w:val="21"/>
        </w:rPr>
        <w:t>表4-4 四种预测模型性能对比</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shd w:fill="4472C4" w:val="clear"/>
          </w:tcPr>
          <w:p>
            <w:pPr>
              <w:jc w:val="center"/>
            </w:pPr>
            <w:r/>
            <w:r>
              <w:rPr>
                <w:rFonts w:ascii="宋体" w:hAnsi="宋体" w:eastAsia="宋体"/>
                <w:b/>
                <w:color w:val="FFFFFF"/>
                <w:sz w:val="20"/>
              </w:rPr>
              <w:t>模型</w:t>
            </w:r>
          </w:p>
        </w:tc>
        <w:tc>
          <w:tcPr>
            <w:tcW w:type="dxa" w:w="1020"/>
            <w:shd w:fill="4472C4" w:val="clear"/>
          </w:tcPr>
          <w:p>
            <w:pPr>
              <w:jc w:val="center"/>
            </w:pPr>
            <w:r/>
            <w:r>
              <w:rPr>
                <w:rFonts w:ascii="宋体" w:hAnsi="宋体" w:eastAsia="宋体"/>
                <w:b/>
                <w:color w:val="FFFFFF"/>
                <w:sz w:val="20"/>
              </w:rPr>
              <w:t>MAE</w:t>
            </w:r>
          </w:p>
        </w:tc>
        <w:tc>
          <w:tcPr>
            <w:tcW w:type="dxa" w:w="1020"/>
            <w:shd w:fill="4472C4" w:val="clear"/>
          </w:tcPr>
          <w:p>
            <w:pPr>
              <w:jc w:val="center"/>
            </w:pPr>
            <w:r/>
            <w:r>
              <w:rPr>
                <w:rFonts w:ascii="宋体" w:hAnsi="宋体" w:eastAsia="宋体"/>
                <w:b/>
                <w:color w:val="FFFFFF"/>
                <w:sz w:val="20"/>
              </w:rPr>
              <w:t>RMSE</w:t>
            </w:r>
          </w:p>
        </w:tc>
        <w:tc>
          <w:tcPr>
            <w:tcW w:type="dxa" w:w="1134"/>
            <w:shd w:fill="4472C4" w:val="clear"/>
          </w:tcPr>
          <w:p>
            <w:pPr>
              <w:jc w:val="center"/>
            </w:pPr>
            <w:r/>
            <w:r>
              <w:rPr>
                <w:rFonts w:ascii="宋体" w:hAnsi="宋体" w:eastAsia="宋体"/>
                <w:b/>
                <w:color w:val="FFFFFF"/>
                <w:sz w:val="20"/>
              </w:rPr>
              <w:t>MAPE(%)</w:t>
            </w:r>
          </w:p>
        </w:tc>
        <w:tc>
          <w:tcPr>
            <w:tcW w:type="dxa" w:w="1134"/>
            <w:shd w:fill="4472C4" w:val="clear"/>
          </w:tcPr>
          <w:p>
            <w:pPr>
              <w:jc w:val="center"/>
            </w:pPr>
            <w:r/>
            <w:r>
              <w:rPr>
                <w:rFonts w:ascii="宋体" w:hAnsi="宋体" w:eastAsia="宋体"/>
                <w:b/>
                <w:color w:val="FFFFFF"/>
                <w:sz w:val="20"/>
              </w:rPr>
              <w:t>R²</w:t>
            </w:r>
          </w:p>
        </w:tc>
        <w:tc>
          <w:tcPr>
            <w:tcW w:type="dxa" w:w="1417"/>
            <w:shd w:fill="4472C4" w:val="clear"/>
          </w:tcPr>
          <w:p>
            <w:pPr>
              <w:jc w:val="center"/>
            </w:pPr>
            <w:r/>
            <w:r>
              <w:rPr>
                <w:rFonts w:ascii="宋体" w:hAnsi="宋体" w:eastAsia="宋体"/>
                <w:b/>
                <w:color w:val="FFFFFF"/>
                <w:sz w:val="20"/>
              </w:rPr>
              <w:t>参数量</w:t>
            </w:r>
          </w:p>
        </w:tc>
        <w:tc>
          <w:tcPr>
            <w:tcW w:type="dxa" w:w="1417"/>
            <w:shd w:fill="4472C4" w:val="clear"/>
          </w:tcPr>
          <w:p>
            <w:pPr>
              <w:jc w:val="center"/>
            </w:pPr>
            <w:r/>
            <w:r>
              <w:rPr>
                <w:rFonts w:ascii="宋体" w:hAnsi="宋体" w:eastAsia="宋体"/>
                <w:b/>
                <w:color w:val="FFFFFF"/>
                <w:sz w:val="20"/>
              </w:rPr>
              <w:t>训练时间(s)</w:t>
            </w:r>
          </w:p>
        </w:tc>
      </w:tr>
      <w:tr>
        <w:tc>
          <w:tcPr>
            <w:tcW w:type="dxa" w:w="1417"/>
          </w:tcPr>
          <w:p>
            <w:pPr>
              <w:jc w:val="center"/>
            </w:pPr>
            <w:r/>
            <w:r>
              <w:rPr>
                <w:rFonts w:ascii="Times New Roman" w:hAnsi="Times New Roman" w:eastAsia="宋体"/>
                <w:sz w:val="20"/>
              </w:rPr>
              <w:t>LSTM</w:t>
            </w:r>
          </w:p>
        </w:tc>
        <w:tc>
          <w:tcPr>
            <w:tcW w:type="dxa" w:w="1020"/>
          </w:tcPr>
          <w:p>
            <w:pPr>
              <w:jc w:val="center"/>
            </w:pPr>
            <w:r/>
            <w:r>
              <w:rPr>
                <w:rFonts w:ascii="Times New Roman" w:hAnsi="Times New Roman" w:eastAsia="宋体"/>
                <w:sz w:val="20"/>
              </w:rPr>
              <w:t>0.79</w:t>
            </w:r>
          </w:p>
        </w:tc>
        <w:tc>
          <w:tcPr>
            <w:tcW w:type="dxa" w:w="1020"/>
          </w:tcPr>
          <w:p>
            <w:pPr>
              <w:jc w:val="center"/>
            </w:pPr>
            <w:r/>
            <w:r>
              <w:rPr>
                <w:rFonts w:ascii="Times New Roman" w:hAnsi="Times New Roman" w:eastAsia="宋体"/>
                <w:sz w:val="20"/>
              </w:rPr>
              <w:t>1.15</w:t>
            </w:r>
          </w:p>
        </w:tc>
        <w:tc>
          <w:tcPr>
            <w:tcW w:type="dxa" w:w="1134"/>
          </w:tcPr>
          <w:p>
            <w:pPr>
              <w:jc w:val="center"/>
            </w:pPr>
            <w:r/>
            <w:r>
              <w:rPr>
                <w:rFonts w:ascii="Times New Roman" w:hAnsi="Times New Roman" w:eastAsia="宋体"/>
                <w:sz w:val="20"/>
              </w:rPr>
              <w:t>14.35</w:t>
            </w:r>
          </w:p>
        </w:tc>
        <w:tc>
          <w:tcPr>
            <w:tcW w:type="dxa" w:w="1134"/>
          </w:tcPr>
          <w:p>
            <w:pPr>
              <w:jc w:val="center"/>
            </w:pPr>
            <w:r/>
            <w:r>
              <w:rPr>
                <w:rFonts w:ascii="Times New Roman" w:hAnsi="Times New Roman" w:eastAsia="宋体"/>
                <w:sz w:val="20"/>
              </w:rPr>
              <w:t>0.9420</w:t>
            </w:r>
          </w:p>
        </w:tc>
        <w:tc>
          <w:tcPr>
            <w:tcW w:type="dxa" w:w="1417"/>
          </w:tcPr>
          <w:p>
            <w:pPr>
              <w:jc w:val="center"/>
            </w:pPr>
            <w:r/>
            <w:r>
              <w:rPr>
                <w:rFonts w:ascii="Times New Roman" w:hAnsi="Times New Roman" w:eastAsia="宋体"/>
                <w:sz w:val="20"/>
              </w:rPr>
              <w:t>54,337</w:t>
            </w:r>
          </w:p>
        </w:tc>
        <w:tc>
          <w:tcPr>
            <w:tcW w:type="dxa" w:w="1417"/>
          </w:tcPr>
          <w:p>
            <w:pPr>
              <w:jc w:val="center"/>
            </w:pPr>
            <w:r/>
            <w:r>
              <w:rPr>
                <w:rFonts w:ascii="Times New Roman" w:hAnsi="Times New Roman" w:eastAsia="宋体"/>
                <w:sz w:val="20"/>
              </w:rPr>
              <w:t>87.1</w:t>
            </w:r>
          </w:p>
        </w:tc>
      </w:tr>
      <w:tr>
        <w:tc>
          <w:tcPr>
            <w:tcW w:type="dxa" w:w="1417"/>
            <w:shd w:fill="D9E2F3" w:val="clear"/>
          </w:tcPr>
          <w:p>
            <w:pPr>
              <w:jc w:val="center"/>
            </w:pPr>
            <w:r/>
            <w:r>
              <w:rPr>
                <w:rFonts w:ascii="Times New Roman" w:hAnsi="Times New Roman" w:eastAsia="宋体"/>
                <w:sz w:val="20"/>
              </w:rPr>
              <w:t>CNN</w:t>
            </w:r>
          </w:p>
        </w:tc>
        <w:tc>
          <w:tcPr>
            <w:tcW w:type="dxa" w:w="1020"/>
            <w:shd w:fill="D9E2F3" w:val="clear"/>
          </w:tcPr>
          <w:p>
            <w:pPr>
              <w:jc w:val="center"/>
            </w:pPr>
            <w:r/>
            <w:r>
              <w:rPr>
                <w:rFonts w:ascii="Times New Roman" w:hAnsi="Times New Roman" w:eastAsia="宋体"/>
                <w:sz w:val="20"/>
              </w:rPr>
              <w:t>0.90</w:t>
            </w:r>
          </w:p>
        </w:tc>
        <w:tc>
          <w:tcPr>
            <w:tcW w:type="dxa" w:w="1020"/>
            <w:shd w:fill="D9E2F3" w:val="clear"/>
          </w:tcPr>
          <w:p>
            <w:pPr>
              <w:jc w:val="center"/>
            </w:pPr>
            <w:r/>
            <w:r>
              <w:rPr>
                <w:rFonts w:ascii="Times New Roman" w:hAnsi="Times New Roman" w:eastAsia="宋体"/>
                <w:sz w:val="20"/>
              </w:rPr>
              <w:t>1.28</w:t>
            </w:r>
          </w:p>
        </w:tc>
        <w:tc>
          <w:tcPr>
            <w:tcW w:type="dxa" w:w="1134"/>
            <w:shd w:fill="D9E2F3" w:val="clear"/>
          </w:tcPr>
          <w:p>
            <w:pPr>
              <w:jc w:val="center"/>
            </w:pPr>
            <w:r/>
            <w:r>
              <w:rPr>
                <w:rFonts w:ascii="Times New Roman" w:hAnsi="Times New Roman" w:eastAsia="宋体"/>
                <w:sz w:val="20"/>
              </w:rPr>
              <w:t>19.60</w:t>
            </w:r>
          </w:p>
        </w:tc>
        <w:tc>
          <w:tcPr>
            <w:tcW w:type="dxa" w:w="1134"/>
            <w:shd w:fill="D9E2F3" w:val="clear"/>
          </w:tcPr>
          <w:p>
            <w:pPr>
              <w:jc w:val="center"/>
            </w:pPr>
            <w:r/>
            <w:r>
              <w:rPr>
                <w:rFonts w:ascii="Times New Roman" w:hAnsi="Times New Roman" w:eastAsia="宋体"/>
                <w:sz w:val="20"/>
              </w:rPr>
              <w:t>0.9281</w:t>
            </w:r>
          </w:p>
        </w:tc>
        <w:tc>
          <w:tcPr>
            <w:tcW w:type="dxa" w:w="1417"/>
            <w:shd w:fill="D9E2F3" w:val="clear"/>
          </w:tcPr>
          <w:p>
            <w:pPr>
              <w:jc w:val="center"/>
            </w:pPr>
            <w:r/>
            <w:r>
              <w:rPr>
                <w:rFonts w:ascii="Times New Roman" w:hAnsi="Times New Roman" w:eastAsia="宋体"/>
                <w:sz w:val="20"/>
              </w:rPr>
              <w:t>53,569</w:t>
            </w:r>
          </w:p>
        </w:tc>
        <w:tc>
          <w:tcPr>
            <w:tcW w:type="dxa" w:w="1417"/>
            <w:shd w:fill="D9E2F3" w:val="clear"/>
          </w:tcPr>
          <w:p>
            <w:pPr>
              <w:jc w:val="center"/>
            </w:pPr>
            <w:r/>
            <w:r>
              <w:rPr>
                <w:rFonts w:ascii="Times New Roman" w:hAnsi="Times New Roman" w:eastAsia="宋体"/>
                <w:sz w:val="20"/>
              </w:rPr>
              <w:t>32.9</w:t>
            </w:r>
          </w:p>
        </w:tc>
      </w:tr>
      <w:tr>
        <w:tc>
          <w:tcPr>
            <w:tcW w:type="dxa" w:w="1417"/>
          </w:tcPr>
          <w:p>
            <w:pPr>
              <w:jc w:val="center"/>
            </w:pPr>
            <w:r/>
            <w:r>
              <w:rPr>
                <w:rFonts w:ascii="Times New Roman" w:hAnsi="Times New Roman" w:eastAsia="宋体"/>
                <w:b/>
                <w:color w:val="00703C"/>
                <w:sz w:val="20"/>
              </w:rPr>
              <w:t>LSTM+CNN</w:t>
            </w:r>
          </w:p>
        </w:tc>
        <w:tc>
          <w:tcPr>
            <w:tcW w:type="dxa" w:w="1020"/>
          </w:tcPr>
          <w:p>
            <w:pPr>
              <w:jc w:val="center"/>
            </w:pPr>
            <w:r/>
            <w:r>
              <w:rPr>
                <w:rFonts w:ascii="Times New Roman" w:hAnsi="Times New Roman" w:eastAsia="宋体"/>
                <w:b/>
                <w:color w:val="00703C"/>
                <w:sz w:val="20"/>
              </w:rPr>
              <w:t>0.75</w:t>
            </w:r>
          </w:p>
        </w:tc>
        <w:tc>
          <w:tcPr>
            <w:tcW w:type="dxa" w:w="1020"/>
          </w:tcPr>
          <w:p>
            <w:pPr>
              <w:jc w:val="center"/>
            </w:pPr>
            <w:r/>
            <w:r>
              <w:rPr>
                <w:rFonts w:ascii="Times New Roman" w:hAnsi="Times New Roman" w:eastAsia="宋体"/>
                <w:b/>
                <w:color w:val="00703C"/>
                <w:sz w:val="20"/>
              </w:rPr>
              <w:t>1.10</w:t>
            </w:r>
          </w:p>
        </w:tc>
        <w:tc>
          <w:tcPr>
            <w:tcW w:type="dxa" w:w="1134"/>
          </w:tcPr>
          <w:p>
            <w:pPr>
              <w:jc w:val="center"/>
            </w:pPr>
            <w:r/>
            <w:r>
              <w:rPr>
                <w:rFonts w:ascii="Times New Roman" w:hAnsi="Times New Roman" w:eastAsia="宋体"/>
                <w:b/>
                <w:color w:val="00703C"/>
                <w:sz w:val="20"/>
              </w:rPr>
              <w:t>13.60</w:t>
            </w:r>
          </w:p>
        </w:tc>
        <w:tc>
          <w:tcPr>
            <w:tcW w:type="dxa" w:w="1134"/>
          </w:tcPr>
          <w:p>
            <w:pPr>
              <w:jc w:val="center"/>
            </w:pPr>
            <w:r/>
            <w:r>
              <w:rPr>
                <w:rFonts w:ascii="Times New Roman" w:hAnsi="Times New Roman" w:eastAsia="宋体"/>
                <w:b/>
                <w:color w:val="00703C"/>
                <w:sz w:val="20"/>
              </w:rPr>
              <w:t>0.9476</w:t>
            </w:r>
          </w:p>
        </w:tc>
        <w:tc>
          <w:tcPr>
            <w:tcW w:type="dxa" w:w="1417"/>
          </w:tcPr>
          <w:p>
            <w:pPr>
              <w:jc w:val="center"/>
            </w:pPr>
            <w:r/>
            <w:r>
              <w:rPr>
                <w:rFonts w:ascii="Times New Roman" w:hAnsi="Times New Roman" w:eastAsia="宋体"/>
                <w:b/>
                <w:color w:val="00703C"/>
                <w:sz w:val="20"/>
              </w:rPr>
              <w:t>70,562</w:t>
            </w:r>
          </w:p>
        </w:tc>
        <w:tc>
          <w:tcPr>
            <w:tcW w:type="dxa" w:w="1417"/>
          </w:tcPr>
          <w:p>
            <w:pPr>
              <w:jc w:val="center"/>
            </w:pPr>
            <w:r/>
            <w:r>
              <w:rPr>
                <w:rFonts w:ascii="Times New Roman" w:hAnsi="Times New Roman" w:eastAsia="宋体"/>
                <w:b/>
                <w:color w:val="00703C"/>
                <w:sz w:val="20"/>
              </w:rPr>
              <w:t>122.5</w:t>
            </w:r>
          </w:p>
        </w:tc>
      </w:tr>
      <w:tr>
        <w:tc>
          <w:tcPr>
            <w:tcW w:type="dxa" w:w="1417"/>
            <w:shd w:fill="D9E2F3" w:val="clear"/>
          </w:tcPr>
          <w:p>
            <w:pPr>
              <w:jc w:val="center"/>
            </w:pPr>
            <w:r/>
            <w:r>
              <w:rPr>
                <w:rFonts w:ascii="Times New Roman" w:hAnsi="Times New Roman" w:eastAsia="宋体"/>
                <w:sz w:val="20"/>
              </w:rPr>
              <w:t>协同过滤</w:t>
            </w:r>
          </w:p>
        </w:tc>
        <w:tc>
          <w:tcPr>
            <w:tcW w:type="dxa" w:w="1020"/>
            <w:shd w:fill="D9E2F3" w:val="clear"/>
          </w:tcPr>
          <w:p>
            <w:pPr>
              <w:jc w:val="center"/>
            </w:pPr>
            <w:r/>
            <w:r>
              <w:rPr>
                <w:rFonts w:ascii="Times New Roman" w:hAnsi="Times New Roman" w:eastAsia="宋体"/>
                <w:sz w:val="20"/>
              </w:rPr>
              <w:t>1.55</w:t>
            </w:r>
          </w:p>
        </w:tc>
        <w:tc>
          <w:tcPr>
            <w:tcW w:type="dxa" w:w="1020"/>
            <w:shd w:fill="D9E2F3" w:val="clear"/>
          </w:tcPr>
          <w:p>
            <w:pPr>
              <w:jc w:val="center"/>
            </w:pPr>
            <w:r/>
            <w:r>
              <w:rPr>
                <w:rFonts w:ascii="Times New Roman" w:hAnsi="Times New Roman" w:eastAsia="宋体"/>
                <w:sz w:val="20"/>
              </w:rPr>
              <w:t>2.12</w:t>
            </w:r>
          </w:p>
        </w:tc>
        <w:tc>
          <w:tcPr>
            <w:tcW w:type="dxa" w:w="1134"/>
            <w:shd w:fill="D9E2F3" w:val="clear"/>
          </w:tcPr>
          <w:p>
            <w:pPr>
              <w:jc w:val="center"/>
            </w:pPr>
            <w:r/>
            <w:r>
              <w:rPr>
                <w:rFonts w:ascii="Times New Roman" w:hAnsi="Times New Roman" w:eastAsia="宋体"/>
                <w:sz w:val="20"/>
              </w:rPr>
              <w:t>29.17</w:t>
            </w:r>
          </w:p>
        </w:tc>
        <w:tc>
          <w:tcPr>
            <w:tcW w:type="dxa" w:w="1134"/>
            <w:shd w:fill="D9E2F3" w:val="clear"/>
          </w:tcPr>
          <w:p>
            <w:pPr>
              <w:jc w:val="center"/>
            </w:pPr>
            <w:r/>
            <w:r>
              <w:rPr>
                <w:rFonts w:ascii="Times New Roman" w:hAnsi="Times New Roman" w:eastAsia="宋体"/>
                <w:sz w:val="20"/>
              </w:rPr>
              <w:t>0.8248</w:t>
            </w:r>
          </w:p>
        </w:tc>
        <w:tc>
          <w:tcPr>
            <w:tcW w:type="dxa" w:w="1417"/>
            <w:shd w:fill="D9E2F3" w:val="clear"/>
          </w:tcPr>
          <w:p>
            <w:pPr>
              <w:jc w:val="center"/>
            </w:pPr>
            <w:r/>
            <w:r>
              <w:rPr>
                <w:rFonts w:ascii="Times New Roman" w:hAnsi="Times New Roman" w:eastAsia="宋体"/>
                <w:sz w:val="20"/>
              </w:rPr>
              <w:t>-</w:t>
            </w:r>
          </w:p>
        </w:tc>
        <w:tc>
          <w:tcPr>
            <w:tcW w:type="dxa" w:w="1417"/>
            <w:shd w:fill="D9E2F3" w:val="clear"/>
          </w:tcPr>
          <w:p>
            <w:pPr>
              <w:jc w:val="center"/>
            </w:pPr>
            <w:r/>
            <w:r>
              <w:rPr>
                <w:rFonts w:ascii="Times New Roman" w:hAnsi="Times New Roman" w:eastAsia="宋体"/>
                <w:sz w:val="20"/>
              </w:rPr>
              <w:t>-</w:t>
            </w:r>
          </w:p>
        </w:tc>
      </w:tr>
    </w:tbl>
    <w:p/>
    <w:p>
      <w:pPr>
        <w:spacing w:line="360" w:lineRule="auto"/>
        <w:ind w:firstLine="420"/>
      </w:pPr>
      <w:r>
        <w:rPr>
          <w:rFonts w:ascii="宋体" w:hAnsi="宋体" w:eastAsia="宋体"/>
          <w:sz w:val="24"/>
        </w:rPr>
        <w:t>从表4-4可以得出以下结论：</w:t>
      </w:r>
    </w:p>
    <w:p>
      <w:pPr>
        <w:spacing w:line="360" w:lineRule="auto"/>
        <w:ind w:firstLine="420"/>
      </w:pPr>
      <w:r>
        <w:rPr>
          <w:rFonts w:ascii="宋体" w:hAnsi="宋体" w:eastAsia="宋体"/>
          <w:sz w:val="24"/>
        </w:rPr>
        <w:t>（1）LSTM+CNN混合模型取得了最优性能，MAE为0.75，R²高达0.9476，MAPE为13.60%。这表明CNN与LSTM的融合以及注意力机制的引入，能够同时捕捉交通流量的局部和全局时间特征，从而获得更精确的预测结果。</w:t>
      </w:r>
    </w:p>
    <w:p>
      <w:pPr>
        <w:spacing w:line="360" w:lineRule="auto"/>
        <w:ind w:firstLine="420"/>
      </w:pPr>
      <w:r>
        <w:rPr>
          <w:rFonts w:ascii="宋体" w:hAnsi="宋体" w:eastAsia="宋体"/>
          <w:sz w:val="24"/>
        </w:rPr>
        <w:t>（2）LSTM模型表现稳健，MAE为0.79，R²为0.9420，验证了循环神经网络在时间序列预测中的有效性。LSTM通过门控机制记忆长期依赖，对交通流量的周期性模式有很好的建模能力。</w:t>
      </w:r>
    </w:p>
    <w:p>
      <w:pPr>
        <w:spacing w:line="360" w:lineRule="auto"/>
        <w:ind w:firstLine="420"/>
      </w:pPr>
      <w:r>
        <w:rPr>
          <w:rFonts w:ascii="宋体" w:hAnsi="宋体" w:eastAsia="宋体"/>
          <w:sz w:val="24"/>
        </w:rPr>
        <w:t>（3）CNN模型MAE为0.90，R²为0.9281，略逊于LSTM，但训练速度最快（仅32.9秒），在实时预测和模型快速迭代场景中具有优势。</w:t>
      </w:r>
    </w:p>
    <w:p>
      <w:pPr>
        <w:spacing w:line="360" w:lineRule="auto"/>
        <w:ind w:firstLine="420"/>
      </w:pPr>
      <w:r>
        <w:rPr>
          <w:rFonts w:ascii="宋体" w:hAnsi="宋体" w:eastAsia="宋体"/>
          <w:sz w:val="24"/>
        </w:rPr>
        <w:t>（4）协同过滤算法的MAE为1.55，R²为0.8248，整体精度低于深度学习模型，但其无需复杂训练过程，适合作为冷启动场景下的补充预测方法。</w:t>
      </w:r>
    </w:p>
    <w:p>
      <w:pPr>
        <w:jc w:val="center"/>
      </w:pPr>
      <w:r>
        <w:drawing>
          <wp:inline xmlns:a="http://schemas.openxmlformats.org/drawingml/2006/main" xmlns:pic="http://schemas.openxmlformats.org/drawingml/2006/picture">
            <wp:extent cx="5029200" cy="3671195"/>
            <wp:docPr id="4" name="Picture 4"/>
            <wp:cNvGraphicFramePr>
              <a:graphicFrameLocks noChangeAspect="1"/>
            </wp:cNvGraphicFramePr>
            <a:graphic>
              <a:graphicData uri="http://schemas.openxmlformats.org/drawingml/2006/picture">
                <pic:pic>
                  <pic:nvPicPr>
                    <pic:cNvPr id="0" name="exp4_model_comparison.png"/>
                    <pic:cNvPicPr/>
                  </pic:nvPicPr>
                  <pic:blipFill>
                    <a:blip r:embed="rId12"/>
                    <a:stretch>
                      <a:fillRect/>
                    </a:stretch>
                  </pic:blipFill>
                  <pic:spPr>
                    <a:xfrm>
                      <a:off x="0" y="0"/>
                      <a:ext cx="5029200" cy="3671195"/>
                    </a:xfrm>
                    <a:prstGeom prst="rect"/>
                  </pic:spPr>
                </pic:pic>
              </a:graphicData>
            </a:graphic>
          </wp:inline>
        </w:drawing>
      </w:r>
    </w:p>
    <w:p>
      <w:pPr>
        <w:jc w:val="center"/>
      </w:pPr>
      <w:r>
        <w:rPr>
          <w:rFonts w:ascii="宋体" w:hAnsi="宋体" w:eastAsia="宋体"/>
          <w:b/>
          <w:sz w:val="21"/>
        </w:rPr>
        <w:t>图4-4 四种模型性能指标柱状图对比</w:t>
      </w:r>
    </w:p>
    <w:p>
      <w:pPr>
        <w:spacing w:line="360" w:lineRule="auto"/>
        <w:ind w:firstLine="420"/>
      </w:pPr>
      <w:r>
        <w:rPr>
          <w:rFonts w:ascii="宋体" w:hAnsi="宋体" w:eastAsia="宋体"/>
          <w:sz w:val="24"/>
        </w:rPr>
        <w:t>图4-4以柱状图的形式直观展示了四种模型在各项指标上的对比，其中最优值以绿色粗边框标注。可以清晰地看到LSTM+CNN混合模型在MAE和RMSE上具有明显优势，而协同过滤在所有指标上均与深度学习模型存在较大差距。</w:t>
      </w:r>
    </w:p>
    <w:p>
      <w:pPr>
        <w:pStyle w:val="Heading1"/>
      </w:pPr>
      <w:r>
        <w:rPr>
          <w:rFonts w:ascii="黑体" w:hAnsi="黑体" w:eastAsia="黑体"/>
        </w:rPr>
        <w:t>4.5 预测结果可视化分析</w:t>
      </w:r>
    </w:p>
    <w:p>
      <w:pPr>
        <w:pStyle w:val="Heading2"/>
      </w:pPr>
      <w:r>
        <w:rPr>
          <w:rFonts w:ascii="黑体" w:hAnsi="黑体" w:eastAsia="黑体"/>
        </w:rPr>
        <w:t>4.5.1 预测值与真实值对比</w:t>
      </w:r>
    </w:p>
    <w:p>
      <w:pPr>
        <w:spacing w:line="360" w:lineRule="auto"/>
        <w:ind w:firstLine="420"/>
      </w:pPr>
      <w:r>
        <w:rPr>
          <w:rFonts w:ascii="宋体" w:hAnsi="宋体" w:eastAsia="宋体"/>
          <w:sz w:val="24"/>
        </w:rPr>
        <w:t>图4-5展示了四种模型在测试集上的预测值与真实值对比曲线。从图中可以看到，深度学习模型（LSTM、CNN、LSTM+CNN）的预测曲线与真实值曲线高度吻合，能够准确跟踪交通流量的波动趋势和峰值变化。其中LSTM+CNN混合模型的预测曲线最为贴近真实值，尤其在流量突变和峰值区域的预测精度优于单一模型。图中浅色区域表示预测的置信带（±10%），深度学习模型的真实值基本落在置信带内。</w:t>
      </w:r>
    </w:p>
    <w:p>
      <w:pPr>
        <w:jc w:val="center"/>
      </w:pPr>
      <w:r>
        <w:drawing>
          <wp:inline xmlns:a="http://schemas.openxmlformats.org/drawingml/2006/main" xmlns:pic="http://schemas.openxmlformats.org/drawingml/2006/picture">
            <wp:extent cx="5486400" cy="3502643"/>
            <wp:docPr id="5" name="Picture 5"/>
            <wp:cNvGraphicFramePr>
              <a:graphicFrameLocks noChangeAspect="1"/>
            </wp:cNvGraphicFramePr>
            <a:graphic>
              <a:graphicData uri="http://schemas.openxmlformats.org/drawingml/2006/picture">
                <pic:pic>
                  <pic:nvPicPr>
                    <pic:cNvPr id="0" name="exp5_prediction_comparison.png"/>
                    <pic:cNvPicPr/>
                  </pic:nvPicPr>
                  <pic:blipFill>
                    <a:blip r:embed="rId13"/>
                    <a:stretch>
                      <a:fillRect/>
                    </a:stretch>
                  </pic:blipFill>
                  <pic:spPr>
                    <a:xfrm>
                      <a:off x="0" y="0"/>
                      <a:ext cx="5486400" cy="3502643"/>
                    </a:xfrm>
                    <a:prstGeom prst="rect"/>
                  </pic:spPr>
                </pic:pic>
              </a:graphicData>
            </a:graphic>
          </wp:inline>
        </w:drawing>
      </w:r>
    </w:p>
    <w:p>
      <w:pPr>
        <w:jc w:val="center"/>
      </w:pPr>
      <w:r>
        <w:rPr>
          <w:rFonts w:ascii="宋体" w:hAnsi="宋体" w:eastAsia="宋体"/>
          <w:b/>
          <w:sz w:val="21"/>
        </w:rPr>
        <w:t>图4-5 四种模型预测值与真实值对比</w:t>
      </w:r>
    </w:p>
    <w:p>
      <w:pPr>
        <w:spacing w:line="360" w:lineRule="auto"/>
        <w:ind w:firstLine="420"/>
      </w:pPr>
      <w:r>
        <w:rPr>
          <w:rFonts w:ascii="宋体" w:hAnsi="宋体" w:eastAsia="宋体"/>
          <w:sz w:val="24"/>
        </w:rPr>
        <w:t>协同过滤的预测曲线相对平滑，主要反映了各时段的平均流量模式，对短期波动的捕捉能力有限。这是因为协同过滤基于历史统计信息进行预测，缺乏对实时动态变化的建模能力。</w:t>
      </w:r>
    </w:p>
    <w:p>
      <w:pPr>
        <w:pStyle w:val="Heading2"/>
      </w:pPr>
      <w:r>
        <w:rPr>
          <w:rFonts w:ascii="黑体" w:hAnsi="黑体" w:eastAsia="黑体"/>
        </w:rPr>
        <w:t>4.5.2 预测误差分布分析</w:t>
      </w:r>
    </w:p>
    <w:p>
      <w:pPr>
        <w:spacing w:line="360" w:lineRule="auto"/>
        <w:ind w:firstLine="420"/>
      </w:pPr>
      <w:r>
        <w:rPr>
          <w:rFonts w:ascii="宋体" w:hAnsi="宋体" w:eastAsia="宋体"/>
          <w:sz w:val="24"/>
        </w:rPr>
        <w:t>图4-6展示了各模型预测误差的分布情况。理想的预测模型应该具有以误差0为中心、方差较小的正态分布误差。从图中可以观察到：</w:t>
      </w:r>
    </w:p>
    <w:p>
      <w:pPr>
        <w:jc w:val="center"/>
      </w:pPr>
      <w:r>
        <w:drawing>
          <wp:inline xmlns:a="http://schemas.openxmlformats.org/drawingml/2006/main" xmlns:pic="http://schemas.openxmlformats.org/drawingml/2006/picture">
            <wp:extent cx="5029200" cy="3585387"/>
            <wp:docPr id="6" name="Picture 6"/>
            <wp:cNvGraphicFramePr>
              <a:graphicFrameLocks noChangeAspect="1"/>
            </wp:cNvGraphicFramePr>
            <a:graphic>
              <a:graphicData uri="http://schemas.openxmlformats.org/drawingml/2006/picture">
                <pic:pic>
                  <pic:nvPicPr>
                    <pic:cNvPr id="0" name="exp6_error_distribution.png"/>
                    <pic:cNvPicPr/>
                  </pic:nvPicPr>
                  <pic:blipFill>
                    <a:blip r:embed="rId14"/>
                    <a:stretch>
                      <a:fillRect/>
                    </a:stretch>
                  </pic:blipFill>
                  <pic:spPr>
                    <a:xfrm>
                      <a:off x="0" y="0"/>
                      <a:ext cx="5029200" cy="3585387"/>
                    </a:xfrm>
                    <a:prstGeom prst="rect"/>
                  </pic:spPr>
                </pic:pic>
              </a:graphicData>
            </a:graphic>
          </wp:inline>
        </w:drawing>
      </w:r>
    </w:p>
    <w:p>
      <w:pPr>
        <w:jc w:val="center"/>
      </w:pPr>
      <w:r>
        <w:rPr>
          <w:rFonts w:ascii="宋体" w:hAnsi="宋体" w:eastAsia="宋体"/>
          <w:b/>
          <w:sz w:val="21"/>
        </w:rPr>
        <w:t>图4-6 各模型预测误差分布直方图</w:t>
      </w:r>
    </w:p>
    <w:p>
      <w:pPr>
        <w:spacing w:line="360" w:lineRule="auto"/>
        <w:ind w:firstLine="420"/>
      </w:pPr>
      <w:r>
        <w:rPr>
          <w:rFonts w:ascii="宋体" w:hAnsi="宋体" w:eastAsia="宋体"/>
          <w:sz w:val="24"/>
        </w:rPr>
        <w:t>（1）LSTM+CNN混合模型的误差分布最为集中，峰值最高，标准差最小，表明其预测误差的离散程度最小，预测稳定性最好。</w:t>
      </w:r>
    </w:p>
    <w:p>
      <w:pPr>
        <w:spacing w:line="360" w:lineRule="auto"/>
        <w:ind w:firstLine="420"/>
      </w:pPr>
      <w:r>
        <w:rPr>
          <w:rFonts w:ascii="宋体" w:hAnsi="宋体" w:eastAsia="宋体"/>
          <w:sz w:val="24"/>
        </w:rPr>
        <w:t>（2）LSTM和CNN的误差分布也呈现良好的正态分布特征，大部分预测误差集中在较小范围内。</w:t>
      </w:r>
    </w:p>
    <w:p>
      <w:pPr>
        <w:spacing w:line="360" w:lineRule="auto"/>
        <w:ind w:firstLine="420"/>
      </w:pPr>
      <w:r>
        <w:rPr>
          <w:rFonts w:ascii="宋体" w:hAnsi="宋体" w:eastAsia="宋体"/>
          <w:sz w:val="24"/>
        </w:rPr>
        <w:t>（3）协同过滤的误差分布较为分散，标准差明显大于深度学习模型，存在较多的大误差样本。</w:t>
      </w:r>
    </w:p>
    <w:p>
      <w:pPr>
        <w:pStyle w:val="Heading2"/>
      </w:pPr>
      <w:r>
        <w:rPr>
          <w:rFonts w:ascii="黑体" w:hAnsi="黑体" w:eastAsia="黑体"/>
        </w:rPr>
        <w:t>4.5.3 预测散点图分析</w:t>
      </w:r>
    </w:p>
    <w:p>
      <w:pPr>
        <w:spacing w:line="360" w:lineRule="auto"/>
        <w:ind w:firstLine="420"/>
      </w:pPr>
      <w:r>
        <w:rPr>
          <w:rFonts w:ascii="宋体" w:hAnsi="宋体" w:eastAsia="宋体"/>
          <w:sz w:val="24"/>
        </w:rPr>
        <w:t>图4-7展示了四种模型预测值与真实值的散点图。散点越集中于对角线附近，表示模型预测越准确。从图中可以看到，三个深度学习模型的散点高度集中在对角线上，而协同过滤的散点相对分散，偏离对角线的程度更大。</w:t>
      </w:r>
    </w:p>
    <w:p>
      <w:pPr>
        <w:jc w:val="center"/>
      </w:pPr>
      <w:r>
        <w:drawing>
          <wp:inline xmlns:a="http://schemas.openxmlformats.org/drawingml/2006/main" xmlns:pic="http://schemas.openxmlformats.org/drawingml/2006/picture">
            <wp:extent cx="5486400" cy="1539513"/>
            <wp:docPr id="7" name="Picture 7"/>
            <wp:cNvGraphicFramePr>
              <a:graphicFrameLocks noChangeAspect="1"/>
            </wp:cNvGraphicFramePr>
            <a:graphic>
              <a:graphicData uri="http://schemas.openxmlformats.org/drawingml/2006/picture">
                <pic:pic>
                  <pic:nvPicPr>
                    <pic:cNvPr id="0" name="exp11_scatter_plots.png"/>
                    <pic:cNvPicPr/>
                  </pic:nvPicPr>
                  <pic:blipFill>
                    <a:blip r:embed="rId15"/>
                    <a:stretch>
                      <a:fillRect/>
                    </a:stretch>
                  </pic:blipFill>
                  <pic:spPr>
                    <a:xfrm>
                      <a:off x="0" y="0"/>
                      <a:ext cx="5486400" cy="1539513"/>
                    </a:xfrm>
                    <a:prstGeom prst="rect"/>
                  </pic:spPr>
                </pic:pic>
              </a:graphicData>
            </a:graphic>
          </wp:inline>
        </w:drawing>
      </w:r>
    </w:p>
    <w:p>
      <w:pPr>
        <w:jc w:val="center"/>
      </w:pPr>
      <w:r>
        <w:rPr>
          <w:rFonts w:ascii="宋体" w:hAnsi="宋体" w:eastAsia="宋体"/>
          <w:b/>
          <w:sz w:val="21"/>
        </w:rPr>
        <w:t>图4-7 四种模型预测值与真实值散点图</w:t>
      </w:r>
    </w:p>
    <w:p>
      <w:pPr>
        <w:pStyle w:val="Heading1"/>
      </w:pPr>
      <w:r>
        <w:rPr>
          <w:rFonts w:ascii="黑体" w:hAnsi="黑体" w:eastAsia="黑体"/>
        </w:rPr>
        <w:t>4.6 模型综合能力评估</w:t>
      </w:r>
    </w:p>
    <w:p>
      <w:pPr>
        <w:pStyle w:val="Heading2"/>
      </w:pPr>
      <w:r>
        <w:rPr>
          <w:rFonts w:ascii="黑体" w:hAnsi="黑体" w:eastAsia="黑体"/>
        </w:rPr>
        <w:t>4.6.1 多维度雷达图分析</w:t>
      </w:r>
    </w:p>
    <w:p>
      <w:pPr>
        <w:spacing w:line="360" w:lineRule="auto"/>
        <w:ind w:firstLine="420"/>
      </w:pPr>
      <w:r>
        <w:rPr>
          <w:rFonts w:ascii="宋体" w:hAnsi="宋体" w:eastAsia="宋体"/>
          <w:sz w:val="24"/>
        </w:rPr>
        <w:t>图4-8以雷达图的形式从精度（MAE倒数）、稳定性（RMSE倒数）、百分比精度（MAPE倒数）、拟合度（R²）和效率（训练速度倒数）五个维度综合评估四种模型的能力。</w:t>
      </w:r>
    </w:p>
    <w:p>
      <w:pPr>
        <w:jc w:val="center"/>
      </w:pPr>
      <w:r>
        <w:drawing>
          <wp:inline xmlns:a="http://schemas.openxmlformats.org/drawingml/2006/main" xmlns:pic="http://schemas.openxmlformats.org/drawingml/2006/picture">
            <wp:extent cx="4572000" cy="3838524"/>
            <wp:docPr id="8" name="Picture 8"/>
            <wp:cNvGraphicFramePr>
              <a:graphicFrameLocks noChangeAspect="1"/>
            </wp:cNvGraphicFramePr>
            <a:graphic>
              <a:graphicData uri="http://schemas.openxmlformats.org/drawingml/2006/picture">
                <pic:pic>
                  <pic:nvPicPr>
                    <pic:cNvPr id="0" name="exp7_radar_comparison.png"/>
                    <pic:cNvPicPr/>
                  </pic:nvPicPr>
                  <pic:blipFill>
                    <a:blip r:embed="rId16"/>
                    <a:stretch>
                      <a:fillRect/>
                    </a:stretch>
                  </pic:blipFill>
                  <pic:spPr>
                    <a:xfrm>
                      <a:off x="0" y="0"/>
                      <a:ext cx="4572000" cy="3838524"/>
                    </a:xfrm>
                    <a:prstGeom prst="rect"/>
                  </pic:spPr>
                </pic:pic>
              </a:graphicData>
            </a:graphic>
          </wp:inline>
        </w:drawing>
      </w:r>
    </w:p>
    <w:p>
      <w:pPr>
        <w:jc w:val="center"/>
      </w:pPr>
      <w:r>
        <w:rPr>
          <w:rFonts w:ascii="宋体" w:hAnsi="宋体" w:eastAsia="宋体"/>
          <w:b/>
          <w:sz w:val="21"/>
        </w:rPr>
        <w:t>图4-8 四种模型多维度性能雷达图</w:t>
      </w:r>
    </w:p>
    <w:p>
      <w:pPr>
        <w:spacing w:line="360" w:lineRule="auto"/>
        <w:ind w:firstLine="420"/>
      </w:pPr>
      <w:r>
        <w:rPr>
          <w:rFonts w:ascii="宋体" w:hAnsi="宋体" w:eastAsia="宋体"/>
          <w:sz w:val="24"/>
        </w:rPr>
        <w:t>从雷达图可以看出，LSTM+CNN混合模型在精度、稳定性和拟合度三个维度上均具有优势，形成的面积最大，综合表现最佳。CNN模型在效率维度上表现突出。协同过滤虽然在各维度上表现较弱，但其无需GPU训练的特性使其在资源受限环境下仍有应用价值。</w:t>
      </w:r>
    </w:p>
    <w:p>
      <w:pPr>
        <w:pStyle w:val="Heading2"/>
      </w:pPr>
      <w:r>
        <w:rPr>
          <w:rFonts w:ascii="黑体" w:hAnsi="黑体" w:eastAsia="黑体"/>
        </w:rPr>
        <w:t>4.6.2 协同过滤相似度与预测分析</w:t>
      </w:r>
    </w:p>
    <w:p>
      <w:pPr>
        <w:spacing w:line="360" w:lineRule="auto"/>
        <w:ind w:firstLine="420"/>
      </w:pPr>
      <w:r>
        <w:rPr>
          <w:rFonts w:ascii="宋体" w:hAnsi="宋体" w:eastAsia="宋体"/>
          <w:sz w:val="24"/>
        </w:rPr>
        <w:t>图4-9左图展示了6个监测点位之间的余弦相似度热力图，右图展示了协同过滤的预测效果。相似度越高（数值越接近1），表示两个点位的交通流量模式越相似。</w:t>
      </w:r>
    </w:p>
    <w:p>
      <w:pPr>
        <w:jc w:val="center"/>
      </w:pPr>
      <w:r>
        <w:drawing>
          <wp:inline xmlns:a="http://schemas.openxmlformats.org/drawingml/2006/main" xmlns:pic="http://schemas.openxmlformats.org/drawingml/2006/picture">
            <wp:extent cx="5486400" cy="2035834"/>
            <wp:docPr id="9" name="Picture 9"/>
            <wp:cNvGraphicFramePr>
              <a:graphicFrameLocks noChangeAspect="1"/>
            </wp:cNvGraphicFramePr>
            <a:graphic>
              <a:graphicData uri="http://schemas.openxmlformats.org/drawingml/2006/picture">
                <pic:pic>
                  <pic:nvPicPr>
                    <pic:cNvPr id="0" name="exp8_similarity_heatmap.png"/>
                    <pic:cNvPicPr/>
                  </pic:nvPicPr>
                  <pic:blipFill>
                    <a:blip r:embed="rId17"/>
                    <a:stretch>
                      <a:fillRect/>
                    </a:stretch>
                  </pic:blipFill>
                  <pic:spPr>
                    <a:xfrm>
                      <a:off x="0" y="0"/>
                      <a:ext cx="5486400" cy="2035834"/>
                    </a:xfrm>
                    <a:prstGeom prst="rect"/>
                  </pic:spPr>
                </pic:pic>
              </a:graphicData>
            </a:graphic>
          </wp:inline>
        </w:drawing>
      </w:r>
    </w:p>
    <w:p>
      <w:pPr>
        <w:jc w:val="center"/>
      </w:pPr>
      <w:r>
        <w:rPr>
          <w:rFonts w:ascii="宋体" w:hAnsi="宋体" w:eastAsia="宋体"/>
          <w:b/>
          <w:sz w:val="21"/>
        </w:rPr>
        <w:t>图4-9 监测点位相似度矩阵与协同过滤预测结果</w:t>
      </w:r>
    </w:p>
    <w:p>
      <w:pPr>
        <w:spacing w:line="360" w:lineRule="auto"/>
        <w:ind w:firstLine="420"/>
      </w:pPr>
      <w:r>
        <w:rPr>
          <w:rFonts w:ascii="宋体" w:hAnsi="宋体" w:eastAsia="宋体"/>
          <w:sz w:val="24"/>
        </w:rPr>
        <w:t>从热力图可以看到，部分监测点位之间存在较高的相似度，例如Main Road与Intersection的流量模式相似度较高，这与实际交通场景中交叉路口与主干道存在交通关联性的空间关系相吻合。协同过滤正是利用这种空间相似性进行跨点位的流量预测。</w:t>
      </w:r>
    </w:p>
    <w:p>
      <w:pPr>
        <w:pStyle w:val="Heading2"/>
      </w:pPr>
      <w:r>
        <w:rPr>
          <w:rFonts w:ascii="黑体" w:hAnsi="黑体" w:eastAsia="黑体"/>
        </w:rPr>
        <w:t>4.6.3 模型效率与复杂度分析</w:t>
      </w:r>
    </w:p>
    <w:p>
      <w:pPr>
        <w:spacing w:line="360" w:lineRule="auto"/>
        <w:ind w:firstLine="420"/>
      </w:pPr>
      <w:r>
        <w:rPr>
          <w:rFonts w:ascii="宋体" w:hAnsi="宋体" w:eastAsia="宋体"/>
          <w:sz w:val="24"/>
        </w:rPr>
        <w:t>图4-10从训练时间、模型参数量和精度-效率权衡三个角度对四种模型进行了效率分析。</w:t>
      </w:r>
    </w:p>
    <w:p>
      <w:pPr>
        <w:jc w:val="center"/>
      </w:pPr>
      <w:r>
        <w:drawing>
          <wp:inline xmlns:a="http://schemas.openxmlformats.org/drawingml/2006/main" xmlns:pic="http://schemas.openxmlformats.org/drawingml/2006/picture">
            <wp:extent cx="5486400" cy="1591987"/>
            <wp:docPr id="10" name="Picture 10"/>
            <wp:cNvGraphicFramePr>
              <a:graphicFrameLocks noChangeAspect="1"/>
            </wp:cNvGraphicFramePr>
            <a:graphic>
              <a:graphicData uri="http://schemas.openxmlformats.org/drawingml/2006/picture">
                <pic:pic>
                  <pic:nvPicPr>
                    <pic:cNvPr id="0" name="exp12_efficiency_analysis.png"/>
                    <pic:cNvPicPr/>
                  </pic:nvPicPr>
                  <pic:blipFill>
                    <a:blip r:embed="rId18"/>
                    <a:stretch>
                      <a:fillRect/>
                    </a:stretch>
                  </pic:blipFill>
                  <pic:spPr>
                    <a:xfrm>
                      <a:off x="0" y="0"/>
                      <a:ext cx="5486400" cy="1591987"/>
                    </a:xfrm>
                    <a:prstGeom prst="rect"/>
                  </pic:spPr>
                </pic:pic>
              </a:graphicData>
            </a:graphic>
          </wp:inline>
        </w:drawing>
      </w:r>
    </w:p>
    <w:p>
      <w:pPr>
        <w:jc w:val="center"/>
      </w:pPr>
      <w:r>
        <w:rPr>
          <w:rFonts w:ascii="宋体" w:hAnsi="宋体" w:eastAsia="宋体"/>
          <w:b/>
          <w:sz w:val="21"/>
        </w:rPr>
        <w:t>图4-10 模型训练效率与复杂度对比</w:t>
      </w:r>
    </w:p>
    <w:p>
      <w:pPr>
        <w:spacing w:line="360" w:lineRule="auto"/>
        <w:ind w:firstLine="420"/>
      </w:pPr>
      <w:r>
        <w:rPr>
          <w:rFonts w:ascii="宋体" w:hAnsi="宋体" w:eastAsia="宋体"/>
          <w:sz w:val="24"/>
        </w:rPr>
        <w:t>从图中可以看到：CNN的训练时间最短（32.9秒），参数量为53,569个；LSTM+CNN混合模型参数量最大（70,562个），训练时间也最长（122.5秒），但获得了最高的R²值。右图的精度-效率权衡图直观展示了各模型在准确性和计算效率之间的平衡关系，为实际部署中的模型选择提供了参考依据。</w:t>
      </w:r>
    </w:p>
    <w:p>
      <w:pPr>
        <w:pStyle w:val="Heading1"/>
      </w:pPr>
      <w:r>
        <w:rPr>
          <w:rFonts w:ascii="黑体" w:hAnsi="黑体" w:eastAsia="黑体"/>
        </w:rPr>
        <w:t>4.7 深入分析</w:t>
      </w:r>
    </w:p>
    <w:p>
      <w:pPr>
        <w:pStyle w:val="Heading2"/>
      </w:pPr>
      <w:r>
        <w:rPr>
          <w:rFonts w:ascii="黑体" w:hAnsi="黑体" w:eastAsia="黑体"/>
        </w:rPr>
        <w:t>4.7.1 误差累积分布与残差分析</w:t>
      </w:r>
    </w:p>
    <w:p>
      <w:pPr>
        <w:spacing w:line="360" w:lineRule="auto"/>
        <w:ind w:firstLine="420"/>
      </w:pPr>
      <w:r>
        <w:rPr>
          <w:rFonts w:ascii="宋体" w:hAnsi="宋体" w:eastAsia="宋体"/>
          <w:sz w:val="24"/>
        </w:rPr>
        <w:t>图4-11从多个角度对模型预测结果进行了深入分析，包括累积误差分布、残差图、分时段误差分析以及综合性能汇总表。</w:t>
      </w:r>
    </w:p>
    <w:p>
      <w:pPr>
        <w:jc w:val="center"/>
      </w:pPr>
      <w:r>
        <w:drawing>
          <wp:inline xmlns:a="http://schemas.openxmlformats.org/drawingml/2006/main" xmlns:pic="http://schemas.openxmlformats.org/drawingml/2006/picture">
            <wp:extent cx="5486400" cy="3983243"/>
            <wp:docPr id="11" name="Picture 11"/>
            <wp:cNvGraphicFramePr>
              <a:graphicFrameLocks noChangeAspect="1"/>
            </wp:cNvGraphicFramePr>
            <a:graphic>
              <a:graphicData uri="http://schemas.openxmlformats.org/drawingml/2006/picture">
                <pic:pic>
                  <pic:nvPicPr>
                    <pic:cNvPr id="0" name="exp13_detailed_analysis.png"/>
                    <pic:cNvPicPr/>
                  </pic:nvPicPr>
                  <pic:blipFill>
                    <a:blip r:embed="rId19"/>
                    <a:stretch>
                      <a:fillRect/>
                    </a:stretch>
                  </pic:blipFill>
                  <pic:spPr>
                    <a:xfrm>
                      <a:off x="0" y="0"/>
                      <a:ext cx="5486400" cy="3983243"/>
                    </a:xfrm>
                    <a:prstGeom prst="rect"/>
                  </pic:spPr>
                </pic:pic>
              </a:graphicData>
            </a:graphic>
          </wp:inline>
        </w:drawing>
      </w:r>
    </w:p>
    <w:p>
      <w:pPr>
        <w:jc w:val="center"/>
      </w:pPr>
      <w:r>
        <w:rPr>
          <w:rFonts w:ascii="宋体" w:hAnsi="宋体" w:eastAsia="宋体"/>
          <w:b/>
          <w:sz w:val="21"/>
        </w:rPr>
        <w:t>图4-11 LSTM+CNN模型深入分析</w:t>
      </w:r>
    </w:p>
    <w:p>
      <w:pPr>
        <w:spacing w:line="360" w:lineRule="auto"/>
        <w:ind w:firstLine="420"/>
      </w:pPr>
      <w:r>
        <w:rPr>
          <w:rFonts w:ascii="宋体" w:hAnsi="宋体" w:eastAsia="宋体"/>
          <w:sz w:val="24"/>
        </w:rPr>
        <w:t>（1）累积误差分布（CDF）图显示，LSTM+CNN模型约90%的预测样本绝对误差小于2.0，约95%小于2.5，表明模型整体预测精度较高且大误差样本极少。</w:t>
      </w:r>
    </w:p>
    <w:p>
      <w:pPr>
        <w:spacing w:line="360" w:lineRule="auto"/>
        <w:ind w:firstLine="420"/>
      </w:pPr>
      <w:r>
        <w:rPr>
          <w:rFonts w:ascii="宋体" w:hAnsi="宋体" w:eastAsia="宋体"/>
          <w:sz w:val="24"/>
        </w:rPr>
        <w:t>（2）残差图显示，LSTM+CNN的残差以0为中心均匀分布，未出现明显的系统性偏差，且绝大部分残差落在±2倍标准差范围内，说明模型预测具有良好的无偏性和稳定性。</w:t>
      </w:r>
    </w:p>
    <w:p>
      <w:pPr>
        <w:spacing w:line="360" w:lineRule="auto"/>
        <w:ind w:firstLine="420"/>
      </w:pPr>
      <w:r>
        <w:rPr>
          <w:rFonts w:ascii="宋体" w:hAnsi="宋体" w:eastAsia="宋体"/>
          <w:sz w:val="24"/>
        </w:rPr>
        <w:t>（3）分时段误差分析揭示了模型在不同时间段的预测精度差异。早晚高峰时段（7-9时、17-19时）的预测误差略大于平峰时段，这是因为高峰期流量波动更为剧烈。夜间（0-5时）误差最小，因为此时流量稳定。</w:t>
      </w:r>
    </w:p>
    <w:p>
      <w:pPr>
        <w:pStyle w:val="Heading1"/>
      </w:pPr>
      <w:r>
        <w:rPr>
          <w:rFonts w:ascii="黑体" w:hAnsi="黑体" w:eastAsia="黑体"/>
        </w:rPr>
        <w:t>4.8 参数敏感性分析</w:t>
      </w:r>
    </w:p>
    <w:p>
      <w:pPr>
        <w:pStyle w:val="Heading2"/>
      </w:pPr>
      <w:r>
        <w:rPr>
          <w:rFonts w:ascii="黑体" w:hAnsi="黑体" w:eastAsia="黑体"/>
        </w:rPr>
        <w:t>4.8.1 序列长度对预测性能的影响</w:t>
      </w:r>
    </w:p>
    <w:p>
      <w:pPr>
        <w:spacing w:line="360" w:lineRule="auto"/>
        <w:ind w:firstLine="420"/>
      </w:pPr>
      <w:r>
        <w:rPr>
          <w:rFonts w:ascii="宋体" w:hAnsi="宋体" w:eastAsia="宋体"/>
          <w:sz w:val="24"/>
        </w:rPr>
        <w:t>时间序列窗口长度是影响模型预测性能的关键超参数。本实验分别测试了6、12、24、48、96五种不同序列长度下LSTM模型的预测性能，结果如表4-5和图4-12所示。</w:t>
      </w:r>
    </w:p>
    <w:p>
      <w:pPr>
        <w:jc w:val="center"/>
      </w:pPr>
      <w:r>
        <w:rPr>
          <w:rFonts w:ascii="宋体" w:hAnsi="宋体" w:eastAsia="宋体"/>
          <w:b/>
          <w:sz w:val="21"/>
        </w:rPr>
        <w:t>表4-5 不同序列长度下LSTM模型性能对比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4472C4" w:val="clear"/>
          </w:tcPr>
          <w:p>
            <w:pPr>
              <w:jc w:val="center"/>
            </w:pPr>
            <w:r/>
            <w:r>
              <w:rPr>
                <w:rFonts w:ascii="宋体" w:hAnsi="宋体" w:eastAsia="宋体"/>
                <w:b/>
                <w:color w:val="FFFFFF"/>
                <w:sz w:val="20"/>
              </w:rPr>
              <w:t>序列长度</w:t>
            </w:r>
          </w:p>
        </w:tc>
        <w:tc>
          <w:tcPr>
            <w:tcW w:type="dxa" w:w="1701"/>
            <w:shd w:fill="4472C4" w:val="clear"/>
          </w:tcPr>
          <w:p>
            <w:pPr>
              <w:jc w:val="center"/>
            </w:pPr>
            <w:r/>
            <w:r>
              <w:rPr>
                <w:rFonts w:ascii="宋体" w:hAnsi="宋体" w:eastAsia="宋体"/>
                <w:b/>
                <w:color w:val="FFFFFF"/>
                <w:sz w:val="20"/>
              </w:rPr>
              <w:t>MAE</w:t>
            </w:r>
          </w:p>
        </w:tc>
        <w:tc>
          <w:tcPr>
            <w:tcW w:type="dxa" w:w="1701"/>
            <w:shd w:fill="4472C4" w:val="clear"/>
          </w:tcPr>
          <w:p>
            <w:pPr>
              <w:jc w:val="center"/>
            </w:pPr>
            <w:r/>
            <w:r>
              <w:rPr>
                <w:rFonts w:ascii="宋体" w:hAnsi="宋体" w:eastAsia="宋体"/>
                <w:b/>
                <w:color w:val="FFFFFF"/>
                <w:sz w:val="20"/>
              </w:rPr>
              <w:t>RMSE</w:t>
            </w:r>
          </w:p>
        </w:tc>
        <w:tc>
          <w:tcPr>
            <w:tcW w:type="dxa" w:w="1701"/>
            <w:shd w:fill="4472C4" w:val="clear"/>
          </w:tcPr>
          <w:p>
            <w:pPr>
              <w:jc w:val="center"/>
            </w:pPr>
            <w:r/>
            <w:r>
              <w:rPr>
                <w:rFonts w:ascii="宋体" w:hAnsi="宋体" w:eastAsia="宋体"/>
                <w:b/>
                <w:color w:val="FFFFFF"/>
                <w:sz w:val="20"/>
              </w:rPr>
              <w:t>R²</w:t>
            </w:r>
          </w:p>
        </w:tc>
      </w:tr>
      <w:tr>
        <w:tc>
          <w:tcPr>
            <w:tcW w:type="dxa" w:w="1701"/>
          </w:tcPr>
          <w:p>
            <w:pPr>
              <w:jc w:val="center"/>
            </w:pPr>
            <w:r/>
            <w:r>
              <w:rPr>
                <w:rFonts w:ascii="Times New Roman" w:hAnsi="Times New Roman" w:eastAsia="宋体"/>
                <w:sz w:val="20"/>
              </w:rPr>
              <w:t>6</w:t>
            </w:r>
          </w:p>
        </w:tc>
        <w:tc>
          <w:tcPr>
            <w:tcW w:type="dxa" w:w="1701"/>
          </w:tcPr>
          <w:p>
            <w:pPr>
              <w:jc w:val="center"/>
            </w:pPr>
            <w:r/>
            <w:r>
              <w:rPr>
                <w:rFonts w:ascii="Times New Roman" w:hAnsi="Times New Roman" w:eastAsia="宋体"/>
                <w:sz w:val="20"/>
              </w:rPr>
              <w:t>0.91</w:t>
            </w:r>
          </w:p>
        </w:tc>
        <w:tc>
          <w:tcPr>
            <w:tcW w:type="dxa" w:w="1701"/>
          </w:tcPr>
          <w:p>
            <w:pPr>
              <w:jc w:val="center"/>
            </w:pPr>
            <w:r/>
            <w:r>
              <w:rPr>
                <w:rFonts w:ascii="Times New Roman" w:hAnsi="Times New Roman" w:eastAsia="宋体"/>
                <w:sz w:val="20"/>
              </w:rPr>
              <w:t>1.31</w:t>
            </w:r>
          </w:p>
        </w:tc>
        <w:tc>
          <w:tcPr>
            <w:tcW w:type="dxa" w:w="1701"/>
          </w:tcPr>
          <w:p>
            <w:pPr>
              <w:jc w:val="center"/>
            </w:pPr>
            <w:r/>
            <w:r>
              <w:rPr>
                <w:rFonts w:ascii="Times New Roman" w:hAnsi="Times New Roman" w:eastAsia="宋体"/>
                <w:sz w:val="20"/>
              </w:rPr>
              <w:t>0.9257</w:t>
            </w:r>
          </w:p>
        </w:tc>
      </w:tr>
      <w:tr>
        <w:tc>
          <w:tcPr>
            <w:tcW w:type="dxa" w:w="1701"/>
            <w:shd w:fill="D9E2F3" w:val="clear"/>
          </w:tcPr>
          <w:p>
            <w:pPr>
              <w:jc w:val="center"/>
            </w:pPr>
            <w:r/>
            <w:r>
              <w:rPr>
                <w:rFonts w:ascii="Times New Roman" w:hAnsi="Times New Roman" w:eastAsia="宋体"/>
                <w:b/>
                <w:color w:val="00703C"/>
                <w:sz w:val="20"/>
              </w:rPr>
              <w:t>12</w:t>
            </w:r>
          </w:p>
        </w:tc>
        <w:tc>
          <w:tcPr>
            <w:tcW w:type="dxa" w:w="1701"/>
            <w:shd w:fill="D9E2F3" w:val="clear"/>
          </w:tcPr>
          <w:p>
            <w:pPr>
              <w:jc w:val="center"/>
            </w:pPr>
            <w:r/>
            <w:r>
              <w:rPr>
                <w:rFonts w:ascii="Times New Roman" w:hAnsi="Times New Roman" w:eastAsia="宋体"/>
                <w:b/>
                <w:color w:val="00703C"/>
                <w:sz w:val="20"/>
              </w:rPr>
              <w:t>0.79</w:t>
            </w:r>
          </w:p>
        </w:tc>
        <w:tc>
          <w:tcPr>
            <w:tcW w:type="dxa" w:w="1701"/>
            <w:shd w:fill="D9E2F3" w:val="clear"/>
          </w:tcPr>
          <w:p>
            <w:pPr>
              <w:jc w:val="center"/>
            </w:pPr>
            <w:r/>
            <w:r>
              <w:rPr>
                <w:rFonts w:ascii="Times New Roman" w:hAnsi="Times New Roman" w:eastAsia="宋体"/>
                <w:b/>
                <w:color w:val="00703C"/>
                <w:sz w:val="20"/>
              </w:rPr>
              <w:t>1.18</w:t>
            </w:r>
          </w:p>
        </w:tc>
        <w:tc>
          <w:tcPr>
            <w:tcW w:type="dxa" w:w="1701"/>
            <w:shd w:fill="D9E2F3" w:val="clear"/>
          </w:tcPr>
          <w:p>
            <w:pPr>
              <w:jc w:val="center"/>
            </w:pPr>
            <w:r/>
            <w:r>
              <w:rPr>
                <w:rFonts w:ascii="Times New Roman" w:hAnsi="Times New Roman" w:eastAsia="宋体"/>
                <w:b/>
                <w:color w:val="00703C"/>
                <w:sz w:val="20"/>
              </w:rPr>
              <w:t>0.9392</w:t>
            </w:r>
          </w:p>
        </w:tc>
      </w:tr>
      <w:tr>
        <w:tc>
          <w:tcPr>
            <w:tcW w:type="dxa" w:w="1701"/>
          </w:tcPr>
          <w:p>
            <w:pPr>
              <w:jc w:val="center"/>
            </w:pPr>
            <w:r/>
            <w:r>
              <w:rPr>
                <w:rFonts w:ascii="Times New Roman" w:hAnsi="Times New Roman" w:eastAsia="宋体"/>
                <w:sz w:val="20"/>
              </w:rPr>
              <w:t>24</w:t>
            </w:r>
          </w:p>
        </w:tc>
        <w:tc>
          <w:tcPr>
            <w:tcW w:type="dxa" w:w="1701"/>
          </w:tcPr>
          <w:p>
            <w:pPr>
              <w:jc w:val="center"/>
            </w:pPr>
            <w:r/>
            <w:r>
              <w:rPr>
                <w:rFonts w:ascii="Times New Roman" w:hAnsi="Times New Roman" w:eastAsia="宋体"/>
                <w:sz w:val="20"/>
              </w:rPr>
              <w:t>0.85</w:t>
            </w:r>
          </w:p>
        </w:tc>
        <w:tc>
          <w:tcPr>
            <w:tcW w:type="dxa" w:w="1701"/>
          </w:tcPr>
          <w:p>
            <w:pPr>
              <w:jc w:val="center"/>
            </w:pPr>
            <w:r/>
            <w:r>
              <w:rPr>
                <w:rFonts w:ascii="Times New Roman" w:hAnsi="Times New Roman" w:eastAsia="宋体"/>
                <w:sz w:val="20"/>
              </w:rPr>
              <w:t>1.22</w:t>
            </w:r>
          </w:p>
        </w:tc>
        <w:tc>
          <w:tcPr>
            <w:tcW w:type="dxa" w:w="1701"/>
          </w:tcPr>
          <w:p>
            <w:pPr>
              <w:jc w:val="center"/>
            </w:pPr>
            <w:r/>
            <w:r>
              <w:rPr>
                <w:rFonts w:ascii="Times New Roman" w:hAnsi="Times New Roman" w:eastAsia="宋体"/>
                <w:sz w:val="20"/>
              </w:rPr>
              <w:t>0.9354</w:t>
            </w:r>
          </w:p>
        </w:tc>
      </w:tr>
      <w:tr>
        <w:tc>
          <w:tcPr>
            <w:tcW w:type="dxa" w:w="1701"/>
            <w:shd w:fill="D9E2F3" w:val="clear"/>
          </w:tcPr>
          <w:p>
            <w:pPr>
              <w:jc w:val="center"/>
            </w:pPr>
            <w:r/>
            <w:r>
              <w:rPr>
                <w:rFonts w:ascii="Times New Roman" w:hAnsi="Times New Roman" w:eastAsia="宋体"/>
                <w:sz w:val="20"/>
              </w:rPr>
              <w:t>48</w:t>
            </w:r>
          </w:p>
        </w:tc>
        <w:tc>
          <w:tcPr>
            <w:tcW w:type="dxa" w:w="1701"/>
            <w:shd w:fill="D9E2F3" w:val="clear"/>
          </w:tcPr>
          <w:p>
            <w:pPr>
              <w:jc w:val="center"/>
            </w:pPr>
            <w:r/>
            <w:r>
              <w:rPr>
                <w:rFonts w:ascii="Times New Roman" w:hAnsi="Times New Roman" w:eastAsia="宋体"/>
                <w:sz w:val="20"/>
              </w:rPr>
              <w:t>0.88</w:t>
            </w:r>
          </w:p>
        </w:tc>
        <w:tc>
          <w:tcPr>
            <w:tcW w:type="dxa" w:w="1701"/>
            <w:shd w:fill="D9E2F3" w:val="clear"/>
          </w:tcPr>
          <w:p>
            <w:pPr>
              <w:jc w:val="center"/>
            </w:pPr>
            <w:r/>
            <w:r>
              <w:rPr>
                <w:rFonts w:ascii="Times New Roman" w:hAnsi="Times New Roman" w:eastAsia="宋体"/>
                <w:sz w:val="20"/>
              </w:rPr>
              <w:t>1.28</w:t>
            </w:r>
          </w:p>
        </w:tc>
        <w:tc>
          <w:tcPr>
            <w:tcW w:type="dxa" w:w="1701"/>
            <w:shd w:fill="D9E2F3" w:val="clear"/>
          </w:tcPr>
          <w:p>
            <w:pPr>
              <w:jc w:val="center"/>
            </w:pPr>
            <w:r/>
            <w:r>
              <w:rPr>
                <w:rFonts w:ascii="Times New Roman" w:hAnsi="Times New Roman" w:eastAsia="宋体"/>
                <w:sz w:val="20"/>
              </w:rPr>
              <w:t>0.9281</w:t>
            </w:r>
          </w:p>
        </w:tc>
      </w:tr>
      <w:tr>
        <w:tc>
          <w:tcPr>
            <w:tcW w:type="dxa" w:w="1701"/>
          </w:tcPr>
          <w:p>
            <w:pPr>
              <w:jc w:val="center"/>
            </w:pPr>
            <w:r/>
            <w:r>
              <w:rPr>
                <w:rFonts w:ascii="Times New Roman" w:hAnsi="Times New Roman" w:eastAsia="宋体"/>
                <w:sz w:val="20"/>
              </w:rPr>
              <w:t>96</w:t>
            </w:r>
          </w:p>
        </w:tc>
        <w:tc>
          <w:tcPr>
            <w:tcW w:type="dxa" w:w="1701"/>
          </w:tcPr>
          <w:p>
            <w:pPr>
              <w:jc w:val="center"/>
            </w:pPr>
            <w:r/>
            <w:r>
              <w:rPr>
                <w:rFonts w:ascii="Times New Roman" w:hAnsi="Times New Roman" w:eastAsia="宋体"/>
                <w:sz w:val="20"/>
              </w:rPr>
              <w:t>0.87</w:t>
            </w:r>
          </w:p>
        </w:tc>
        <w:tc>
          <w:tcPr>
            <w:tcW w:type="dxa" w:w="1701"/>
          </w:tcPr>
          <w:p>
            <w:pPr>
              <w:jc w:val="center"/>
            </w:pPr>
            <w:r/>
            <w:r>
              <w:rPr>
                <w:rFonts w:ascii="Times New Roman" w:hAnsi="Times New Roman" w:eastAsia="宋体"/>
                <w:sz w:val="20"/>
              </w:rPr>
              <w:t>1.29</w:t>
            </w:r>
          </w:p>
        </w:tc>
        <w:tc>
          <w:tcPr>
            <w:tcW w:type="dxa" w:w="1701"/>
          </w:tcPr>
          <w:p>
            <w:pPr>
              <w:jc w:val="center"/>
            </w:pPr>
            <w:r/>
            <w:r>
              <w:rPr>
                <w:rFonts w:ascii="Times New Roman" w:hAnsi="Times New Roman" w:eastAsia="宋体"/>
                <w:sz w:val="20"/>
              </w:rPr>
              <w:t>0.9274</w:t>
            </w:r>
          </w:p>
        </w:tc>
      </w:tr>
    </w:tbl>
    <w:p/>
    <w:p>
      <w:pPr>
        <w:jc w:val="center"/>
      </w:pPr>
      <w:r>
        <w:drawing>
          <wp:inline xmlns:a="http://schemas.openxmlformats.org/drawingml/2006/main" xmlns:pic="http://schemas.openxmlformats.org/drawingml/2006/picture">
            <wp:extent cx="5029200" cy="1458746"/>
            <wp:docPr id="12" name="Picture 12"/>
            <wp:cNvGraphicFramePr>
              <a:graphicFrameLocks noChangeAspect="1"/>
            </wp:cNvGraphicFramePr>
            <a:graphic>
              <a:graphicData uri="http://schemas.openxmlformats.org/drawingml/2006/picture">
                <pic:pic>
                  <pic:nvPicPr>
                    <pic:cNvPr id="0" name="exp9_sequence_length.png"/>
                    <pic:cNvPicPr/>
                  </pic:nvPicPr>
                  <pic:blipFill>
                    <a:blip r:embed="rId20"/>
                    <a:stretch>
                      <a:fillRect/>
                    </a:stretch>
                  </pic:blipFill>
                  <pic:spPr>
                    <a:xfrm>
                      <a:off x="0" y="0"/>
                      <a:ext cx="5029200" cy="1458746"/>
                    </a:xfrm>
                    <a:prstGeom prst="rect"/>
                  </pic:spPr>
                </pic:pic>
              </a:graphicData>
            </a:graphic>
          </wp:inline>
        </w:drawing>
      </w:r>
    </w:p>
    <w:p>
      <w:pPr>
        <w:jc w:val="center"/>
      </w:pPr>
      <w:r>
        <w:rPr>
          <w:rFonts w:ascii="宋体" w:hAnsi="宋体" w:eastAsia="宋体"/>
          <w:b/>
          <w:sz w:val="21"/>
        </w:rPr>
        <w:t>图4-12 序列长度对模型性能的影响</w:t>
      </w:r>
    </w:p>
    <w:p>
      <w:pPr>
        <w:spacing w:line="360" w:lineRule="auto"/>
        <w:ind w:firstLine="420"/>
      </w:pPr>
      <w:r>
        <w:rPr>
          <w:rFonts w:ascii="宋体" w:hAnsi="宋体" w:eastAsia="宋体"/>
          <w:sz w:val="24"/>
        </w:rPr>
        <w:t>从实验结果可以得出以下结论：</w:t>
      </w:r>
    </w:p>
    <w:p>
      <w:pPr>
        <w:spacing w:line="360" w:lineRule="auto"/>
        <w:ind w:firstLine="420"/>
      </w:pPr>
      <w:r>
        <w:rPr>
          <w:rFonts w:ascii="宋体" w:hAnsi="宋体" w:eastAsia="宋体"/>
          <w:sz w:val="24"/>
        </w:rPr>
        <w:t>（1）序列长度为6时，模型性能最差（MAE=0.91，R²=0.9257），说明过短的历史窗口无法为模型提供充分的时间上下文信息。</w:t>
      </w:r>
    </w:p>
    <w:p>
      <w:pPr>
        <w:spacing w:line="360" w:lineRule="auto"/>
        <w:ind w:firstLine="420"/>
      </w:pPr>
      <w:r>
        <w:rPr>
          <w:rFonts w:ascii="宋体" w:hAnsi="宋体" w:eastAsia="宋体"/>
          <w:sz w:val="24"/>
        </w:rPr>
        <w:t>（2）序列长度为12时取得了最佳综合性能（MAE=0.79，R²=0.9392），约对应3小时的历史数据，能够捕获完整的高峰时段信息。</w:t>
      </w:r>
    </w:p>
    <w:p>
      <w:pPr>
        <w:spacing w:line="360" w:lineRule="auto"/>
        <w:ind w:firstLine="420"/>
      </w:pPr>
      <w:r>
        <w:rPr>
          <w:rFonts w:ascii="宋体" w:hAnsi="宋体" w:eastAsia="宋体"/>
          <w:sz w:val="24"/>
        </w:rPr>
        <w:t>（3）序列长度继续增加到48和96时，性能未见明显提升反而略有下降，这可能是因为过长的序列引入了更多噪声，且增加了模型的训练难度。</w:t>
      </w:r>
    </w:p>
    <w:p>
      <w:pPr>
        <w:spacing w:line="360" w:lineRule="auto"/>
        <w:ind w:firstLine="420"/>
      </w:pPr>
      <w:r>
        <w:rPr>
          <w:rFonts w:ascii="宋体" w:hAnsi="宋体" w:eastAsia="宋体"/>
          <w:sz w:val="24"/>
        </w:rPr>
        <w:t>综合考虑预测精度和计算效率，本系统默认采用24的序列长度，在保证良好预测性能的同时控制计算开销。</w:t>
      </w:r>
    </w:p>
    <w:p>
      <w:pPr>
        <w:pStyle w:val="Heading1"/>
      </w:pPr>
      <w:r>
        <w:rPr>
          <w:rFonts w:ascii="黑体" w:hAnsi="黑体" w:eastAsia="黑体"/>
        </w:rPr>
        <w:t>4.9 多点位预测分析</w:t>
      </w:r>
    </w:p>
    <w:p>
      <w:pPr>
        <w:spacing w:line="360" w:lineRule="auto"/>
        <w:ind w:firstLine="420"/>
      </w:pPr>
      <w:r>
        <w:rPr>
          <w:rFonts w:ascii="宋体" w:hAnsi="宋体" w:eastAsia="宋体"/>
          <w:sz w:val="24"/>
        </w:rPr>
        <w:t>为验证LSTM+CNN混合模型在不同交通场景下的适应性，本实验分别在Main Road A、Commercial District B和Residential Area C三个具有不同交通特征的监测点位上进行了独立训练和预测，结果如表4-6和图4-13所示。</w:t>
      </w:r>
    </w:p>
    <w:p>
      <w:pPr>
        <w:jc w:val="center"/>
      </w:pPr>
      <w:r>
        <w:rPr>
          <w:rFonts w:ascii="宋体" w:hAnsi="宋体" w:eastAsia="宋体"/>
          <w:b/>
          <w:sz w:val="21"/>
        </w:rPr>
        <w:t>表4-6 不同监测点位预测性能对比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4472C4" w:val="clear"/>
          </w:tcPr>
          <w:p>
            <w:pPr>
              <w:jc w:val="center"/>
            </w:pPr>
            <w:r/>
            <w:r>
              <w:rPr>
                <w:rFonts w:ascii="宋体" w:hAnsi="宋体" w:eastAsia="宋体"/>
                <w:b/>
                <w:color w:val="FFFFFF"/>
                <w:sz w:val="20"/>
              </w:rPr>
              <w:t>监测点位</w:t>
            </w:r>
          </w:p>
        </w:tc>
        <w:tc>
          <w:tcPr>
            <w:tcW w:type="dxa" w:w="2268"/>
            <w:shd w:fill="4472C4" w:val="clear"/>
          </w:tcPr>
          <w:p>
            <w:pPr>
              <w:jc w:val="center"/>
            </w:pPr>
            <w:r/>
            <w:r>
              <w:rPr>
                <w:rFonts w:ascii="宋体" w:hAnsi="宋体" w:eastAsia="宋体"/>
                <w:b/>
                <w:color w:val="FFFFFF"/>
                <w:sz w:val="20"/>
              </w:rPr>
              <w:t>交通特征</w:t>
            </w:r>
          </w:p>
        </w:tc>
        <w:tc>
          <w:tcPr>
            <w:tcW w:type="dxa" w:w="1134"/>
            <w:shd w:fill="4472C4" w:val="clear"/>
          </w:tcPr>
          <w:p>
            <w:pPr>
              <w:jc w:val="center"/>
            </w:pPr>
            <w:r/>
            <w:r>
              <w:rPr>
                <w:rFonts w:ascii="宋体" w:hAnsi="宋体" w:eastAsia="宋体"/>
                <w:b/>
                <w:color w:val="FFFFFF"/>
                <w:sz w:val="20"/>
              </w:rPr>
              <w:t>MAE</w:t>
            </w:r>
          </w:p>
        </w:tc>
        <w:tc>
          <w:tcPr>
            <w:tcW w:type="dxa" w:w="1701"/>
            <w:shd w:fill="4472C4" w:val="clear"/>
          </w:tcPr>
          <w:p>
            <w:pPr>
              <w:jc w:val="center"/>
            </w:pPr>
            <w:r/>
            <w:r>
              <w:rPr>
                <w:rFonts w:ascii="宋体" w:hAnsi="宋体" w:eastAsia="宋体"/>
                <w:b/>
                <w:color w:val="FFFFFF"/>
                <w:sz w:val="20"/>
              </w:rPr>
              <w:t>R²</w:t>
            </w:r>
          </w:p>
        </w:tc>
      </w:tr>
      <w:tr>
        <w:tc>
          <w:tcPr>
            <w:tcW w:type="dxa" w:w="2268"/>
          </w:tcPr>
          <w:p>
            <w:pPr>
              <w:jc w:val="center"/>
            </w:pPr>
            <w:r/>
            <w:r>
              <w:rPr>
                <w:rFonts w:ascii="Times New Roman" w:hAnsi="Times New Roman" w:eastAsia="宋体"/>
                <w:sz w:val="20"/>
              </w:rPr>
              <w:t>Main Road A</w:t>
            </w:r>
          </w:p>
        </w:tc>
        <w:tc>
          <w:tcPr>
            <w:tcW w:type="dxa" w:w="2268"/>
          </w:tcPr>
          <w:p>
            <w:pPr>
              <w:jc w:val="center"/>
            </w:pPr>
            <w:r/>
            <w:r>
              <w:rPr>
                <w:rFonts w:ascii="Times New Roman" w:hAnsi="Times New Roman" w:eastAsia="宋体"/>
                <w:sz w:val="20"/>
              </w:rPr>
              <w:t>高流量、规律性强</w:t>
            </w:r>
          </w:p>
        </w:tc>
        <w:tc>
          <w:tcPr>
            <w:tcW w:type="dxa" w:w="1134"/>
          </w:tcPr>
          <w:p>
            <w:pPr>
              <w:jc w:val="center"/>
            </w:pPr>
            <w:r/>
            <w:r>
              <w:rPr>
                <w:rFonts w:ascii="Times New Roman" w:hAnsi="Times New Roman" w:eastAsia="宋体"/>
                <w:sz w:val="20"/>
              </w:rPr>
              <w:t>0.79</w:t>
            </w:r>
          </w:p>
        </w:tc>
        <w:tc>
          <w:tcPr>
            <w:tcW w:type="dxa" w:w="1701"/>
          </w:tcPr>
          <w:p>
            <w:pPr>
              <w:jc w:val="center"/>
            </w:pPr>
            <w:r/>
            <w:r>
              <w:rPr>
                <w:rFonts w:ascii="Times New Roman" w:hAnsi="Times New Roman" w:eastAsia="宋体"/>
                <w:sz w:val="20"/>
              </w:rPr>
              <w:t>0.9446</w:t>
            </w:r>
          </w:p>
        </w:tc>
      </w:tr>
      <w:tr>
        <w:tc>
          <w:tcPr>
            <w:tcW w:type="dxa" w:w="2268"/>
            <w:shd w:fill="D9E2F3" w:val="clear"/>
          </w:tcPr>
          <w:p>
            <w:pPr>
              <w:jc w:val="center"/>
            </w:pPr>
            <w:r/>
            <w:r>
              <w:rPr>
                <w:rFonts w:ascii="Times New Roman" w:hAnsi="Times New Roman" w:eastAsia="宋体"/>
                <w:sz w:val="20"/>
              </w:rPr>
              <w:t>Commercial Dist. B</w:t>
            </w:r>
          </w:p>
        </w:tc>
        <w:tc>
          <w:tcPr>
            <w:tcW w:type="dxa" w:w="2268"/>
            <w:shd w:fill="D9E2F3" w:val="clear"/>
          </w:tcPr>
          <w:p>
            <w:pPr>
              <w:jc w:val="center"/>
            </w:pPr>
            <w:r/>
            <w:r>
              <w:rPr>
                <w:rFonts w:ascii="Times New Roman" w:hAnsi="Times New Roman" w:eastAsia="宋体"/>
                <w:sz w:val="20"/>
              </w:rPr>
              <w:t>流量波动大、周末效应</w:t>
            </w:r>
          </w:p>
        </w:tc>
        <w:tc>
          <w:tcPr>
            <w:tcW w:type="dxa" w:w="1134"/>
            <w:shd w:fill="D9E2F3" w:val="clear"/>
          </w:tcPr>
          <w:p>
            <w:pPr>
              <w:jc w:val="center"/>
            </w:pPr>
            <w:r/>
            <w:r>
              <w:rPr>
                <w:rFonts w:ascii="Times New Roman" w:hAnsi="Times New Roman" w:eastAsia="宋体"/>
                <w:sz w:val="20"/>
              </w:rPr>
              <w:t>0.98</w:t>
            </w:r>
          </w:p>
        </w:tc>
        <w:tc>
          <w:tcPr>
            <w:tcW w:type="dxa" w:w="1701"/>
            <w:shd w:fill="D9E2F3" w:val="clear"/>
          </w:tcPr>
          <w:p>
            <w:pPr>
              <w:jc w:val="center"/>
            </w:pPr>
            <w:r/>
            <w:r>
              <w:rPr>
                <w:rFonts w:ascii="Times New Roman" w:hAnsi="Times New Roman" w:eastAsia="宋体"/>
                <w:sz w:val="20"/>
              </w:rPr>
              <w:t>0.9530</w:t>
            </w:r>
          </w:p>
        </w:tc>
      </w:tr>
      <w:tr>
        <w:tc>
          <w:tcPr>
            <w:tcW w:type="dxa" w:w="2268"/>
          </w:tcPr>
          <w:p>
            <w:pPr>
              <w:jc w:val="center"/>
            </w:pPr>
            <w:r/>
            <w:r>
              <w:rPr>
                <w:rFonts w:ascii="Times New Roman" w:hAnsi="Times New Roman" w:eastAsia="宋体"/>
                <w:b/>
                <w:color w:val="00703C"/>
                <w:sz w:val="20"/>
              </w:rPr>
              <w:t>Residential Area C</w:t>
            </w:r>
          </w:p>
        </w:tc>
        <w:tc>
          <w:tcPr>
            <w:tcW w:type="dxa" w:w="2268"/>
          </w:tcPr>
          <w:p>
            <w:pPr>
              <w:jc w:val="center"/>
            </w:pPr>
            <w:r/>
            <w:r>
              <w:rPr>
                <w:rFonts w:ascii="Times New Roman" w:hAnsi="Times New Roman" w:eastAsia="宋体"/>
                <w:b/>
                <w:color w:val="00703C"/>
                <w:sz w:val="20"/>
              </w:rPr>
              <w:t>低流量、早晚高峰明显</w:t>
            </w:r>
          </w:p>
        </w:tc>
        <w:tc>
          <w:tcPr>
            <w:tcW w:type="dxa" w:w="1134"/>
          </w:tcPr>
          <w:p>
            <w:pPr>
              <w:jc w:val="center"/>
            </w:pPr>
            <w:r/>
            <w:r>
              <w:rPr>
                <w:rFonts w:ascii="Times New Roman" w:hAnsi="Times New Roman" w:eastAsia="宋体"/>
                <w:b/>
                <w:color w:val="00703C"/>
                <w:sz w:val="20"/>
              </w:rPr>
              <w:t>0.51</w:t>
            </w:r>
          </w:p>
        </w:tc>
        <w:tc>
          <w:tcPr>
            <w:tcW w:type="dxa" w:w="1701"/>
          </w:tcPr>
          <w:p>
            <w:pPr>
              <w:jc w:val="center"/>
            </w:pPr>
            <w:r/>
            <w:r>
              <w:rPr>
                <w:rFonts w:ascii="Times New Roman" w:hAnsi="Times New Roman" w:eastAsia="宋体"/>
                <w:b/>
                <w:color w:val="00703C"/>
                <w:sz w:val="20"/>
              </w:rPr>
              <w:t>0.9472</w:t>
            </w:r>
          </w:p>
        </w:tc>
      </w:tr>
    </w:tbl>
    <w:p/>
    <w:p>
      <w:pPr>
        <w:jc w:val="center"/>
      </w:pPr>
      <w:r>
        <w:drawing>
          <wp:inline xmlns:a="http://schemas.openxmlformats.org/drawingml/2006/main" xmlns:pic="http://schemas.openxmlformats.org/drawingml/2006/picture">
            <wp:extent cx="5486400" cy="1593815"/>
            <wp:docPr id="13" name="Picture 13"/>
            <wp:cNvGraphicFramePr>
              <a:graphicFrameLocks noChangeAspect="1"/>
            </wp:cNvGraphicFramePr>
            <a:graphic>
              <a:graphicData uri="http://schemas.openxmlformats.org/drawingml/2006/picture">
                <pic:pic>
                  <pic:nvPicPr>
                    <pic:cNvPr id="0" name="exp10_multi_location.png"/>
                    <pic:cNvPicPr/>
                  </pic:nvPicPr>
                  <pic:blipFill>
                    <a:blip r:embed="rId21"/>
                    <a:stretch>
                      <a:fillRect/>
                    </a:stretch>
                  </pic:blipFill>
                  <pic:spPr>
                    <a:xfrm>
                      <a:off x="0" y="0"/>
                      <a:ext cx="5486400" cy="1593815"/>
                    </a:xfrm>
                    <a:prstGeom prst="rect"/>
                  </pic:spPr>
                </pic:pic>
              </a:graphicData>
            </a:graphic>
          </wp:inline>
        </w:drawing>
      </w:r>
    </w:p>
    <w:p>
      <w:pPr>
        <w:jc w:val="center"/>
      </w:pPr>
      <w:r>
        <w:rPr>
          <w:rFonts w:ascii="宋体" w:hAnsi="宋体" w:eastAsia="宋体"/>
          <w:b/>
          <w:sz w:val="21"/>
        </w:rPr>
        <w:t>图4-13 不同监测点位预测结果对比</w:t>
      </w:r>
    </w:p>
    <w:p>
      <w:pPr>
        <w:spacing w:line="360" w:lineRule="auto"/>
        <w:ind w:firstLine="420"/>
      </w:pPr>
      <w:r>
        <w:rPr>
          <w:rFonts w:ascii="宋体" w:hAnsi="宋体" w:eastAsia="宋体"/>
          <w:sz w:val="24"/>
        </w:rPr>
        <w:t>实验结果表明：</w:t>
      </w:r>
    </w:p>
    <w:p>
      <w:pPr>
        <w:spacing w:line="360" w:lineRule="auto"/>
        <w:ind w:firstLine="420"/>
      </w:pPr>
      <w:r>
        <w:rPr>
          <w:rFonts w:ascii="宋体" w:hAnsi="宋体" w:eastAsia="宋体"/>
          <w:sz w:val="24"/>
        </w:rPr>
        <w:t>（1）Residential Area C的预测效果最好（MAE=0.51，R²=0.9472），这是因为住宅区的交通流量模式最为规律，主要集中在早晚通勤高峰，模型容易学习到稳定的时间模式。</w:t>
      </w:r>
    </w:p>
    <w:p>
      <w:pPr>
        <w:spacing w:line="360" w:lineRule="auto"/>
        <w:ind w:firstLine="420"/>
      </w:pPr>
      <w:r>
        <w:rPr>
          <w:rFonts w:ascii="宋体" w:hAnsi="宋体" w:eastAsia="宋体"/>
          <w:sz w:val="24"/>
        </w:rPr>
        <w:t>（2）Main Road A的预测精度良好（MAE=0.79，R²=0.9446），虽然流量较大，但规律性也较强。</w:t>
      </w:r>
    </w:p>
    <w:p>
      <w:pPr>
        <w:spacing w:line="360" w:lineRule="auto"/>
        <w:ind w:firstLine="420"/>
      </w:pPr>
      <w:r>
        <w:rPr>
          <w:rFonts w:ascii="宋体" w:hAnsi="宋体" w:eastAsia="宋体"/>
          <w:sz w:val="24"/>
        </w:rPr>
        <w:t>（3）Commercial District B的MAE相对较高（0.98），但R²仍然很高（0.9530），说明模型虽然在绝对误差上稍大（因为商业区流量基数大），但对流量变化趋势的预测仍然非常准确。</w:t>
      </w:r>
    </w:p>
    <w:p>
      <w:pPr>
        <w:spacing w:line="360" w:lineRule="auto"/>
        <w:ind w:firstLine="420"/>
      </w:pPr>
      <w:r>
        <w:rPr>
          <w:rFonts w:ascii="宋体" w:hAnsi="宋体" w:eastAsia="宋体"/>
          <w:sz w:val="24"/>
        </w:rPr>
        <w:t>总体而言，LSTM+CNN混合模型在所有测试点位上的R²均超过0.94，展现了良好的泛化能力和对不同交通场景的适应性。</w:t>
      </w:r>
    </w:p>
    <w:p>
      <w:pPr>
        <w:pStyle w:val="Heading1"/>
      </w:pPr>
      <w:r>
        <w:rPr>
          <w:rFonts w:ascii="黑体" w:hAnsi="黑体" w:eastAsia="黑体"/>
        </w:rPr>
        <w:t>4.10 本章小结</w:t>
      </w:r>
    </w:p>
    <w:p>
      <w:pPr>
        <w:spacing w:line="360" w:lineRule="auto"/>
        <w:ind w:firstLine="420"/>
      </w:pPr>
      <w:r>
        <w:rPr>
          <w:rFonts w:ascii="宋体" w:hAnsi="宋体" w:eastAsia="宋体"/>
          <w:sz w:val="24"/>
        </w:rPr>
        <w:t>本章通过系统的实验设计和全面的结果分析，对智能交通流量预测系统的核心算法进行了充分验证。主要结论如下：</w:t>
      </w:r>
    </w:p>
    <w:p>
      <w:pPr>
        <w:spacing w:line="360" w:lineRule="auto"/>
        <w:ind w:firstLine="420"/>
      </w:pPr>
      <w:r>
        <w:rPr>
          <w:rFonts w:ascii="宋体" w:hAnsi="宋体" w:eastAsia="宋体"/>
          <w:sz w:val="24"/>
        </w:rPr>
        <w:t>（1）LSTM+CNN混合模型在所有评估指标上均取得了最优表现（MAE=0.75，RMSE=1.10，MAPE=13.60%，R²=0.9476），验证了融合CNN局部特征提取和LSTM长期序列建模优势的混合架构设计的有效性。注意力机制的引入进一步提升了模型对关键时间步信息的利用效率。</w:t>
      </w:r>
    </w:p>
    <w:p>
      <w:pPr>
        <w:spacing w:line="360" w:lineRule="auto"/>
        <w:ind w:firstLine="420"/>
      </w:pPr>
      <w:r>
        <w:rPr>
          <w:rFonts w:ascii="宋体" w:hAnsi="宋体" w:eastAsia="宋体"/>
          <w:sz w:val="24"/>
        </w:rPr>
        <w:t>（2）LSTM和CNN作为单一模型也具有良好的预测能力，R²分别达到0.9420和0.9281。CNN在训练效率方面表现突出，适合对实时性要求较高的应用场景。</w:t>
      </w:r>
    </w:p>
    <w:p>
      <w:pPr>
        <w:spacing w:line="360" w:lineRule="auto"/>
        <w:ind w:firstLine="420"/>
      </w:pPr>
      <w:r>
        <w:rPr>
          <w:rFonts w:ascii="宋体" w:hAnsi="宋体" w:eastAsia="宋体"/>
          <w:sz w:val="24"/>
        </w:rPr>
        <w:t>（3）协同过滤算法虽然预测精度低于深度学习模型（R²=0.8248），但其无需复杂训练过程、计算资源需求低的特点，使其适合作为数据稀疏场景下的补充预测方法，与深度学习模型形成互补。</w:t>
      </w:r>
    </w:p>
    <w:p>
      <w:pPr>
        <w:spacing w:line="360" w:lineRule="auto"/>
        <w:ind w:firstLine="420"/>
      </w:pPr>
      <w:r>
        <w:rPr>
          <w:rFonts w:ascii="宋体" w:hAnsi="宋体" w:eastAsia="宋体"/>
          <w:sz w:val="24"/>
        </w:rPr>
        <w:t>（4）数据特征分析揭示了交通流量数据的多维度规律，包括显著的日周期性、工作日/周末差异、速度-流量负相关等特征，这些发现为模型设计和特征选择提供了理论指导。</w:t>
      </w:r>
    </w:p>
    <w:p>
      <w:pPr>
        <w:spacing w:line="360" w:lineRule="auto"/>
        <w:ind w:firstLine="420"/>
      </w:pPr>
      <w:r>
        <w:rPr>
          <w:rFonts w:ascii="宋体" w:hAnsi="宋体" w:eastAsia="宋体"/>
          <w:sz w:val="24"/>
        </w:rPr>
        <w:t>（5）参数敏感性分析表明，序列长度对模型性能有显著影响，过短或过长的序列都不利于预测精度。综合考虑精度和效率，12-24个时间步是较为合理的选择。</w:t>
      </w:r>
    </w:p>
    <w:p>
      <w:pPr>
        <w:spacing w:line="360" w:lineRule="auto"/>
        <w:ind w:firstLine="420"/>
      </w:pPr>
      <w:r>
        <w:rPr>
          <w:rFonts w:ascii="宋体" w:hAnsi="宋体" w:eastAsia="宋体"/>
          <w:sz w:val="24"/>
        </w:rPr>
        <w:t>（6）多点位预测实验验证了模型在不同交通场景下的良好适应性，所有点位的R²均超过0.94，表明系统具备在实际交通管理中部署应用的潜力。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