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</w:pPr>
      <w:r>
        <w:rPr>
          <w:rFonts w:ascii="黑体" w:hAnsi="黑体" w:eastAsia="黑体"/>
          <w:color w:val="000000"/>
          <w:sz w:val="32"/>
        </w:rPr>
        <w:t>第三章 基于YOLO的障碍物检测模型设计与实现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章围绕移动机器人避障场景的视觉检测需求，系统性地完成了从算法选型、数据集构建到模型训练优化的全流程工作。首先对YOLO系列算法的发展脉络进行概述，通过YOLOv5与YOLO11（YOLOv8后续演进版本）的实验对比确定最终模型；随后介绍面向避障场景的专用数据集构建方案；最后详述模型训练过程与优化策略，并对训练结果进行全面分析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3.1 YOLO目标检测算法原理与版本选型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3.1.1 YOLO系列算法发展概述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YOLO（You Only Look Once）是由Redmon等人于2016年提出的单阶段目标检测算法。与两阶段检测器（如Faster R-CNN）先提取候选区域再分类的流程不同，YOLO将检测问题建模为单次回归任务——将输入图像划分为S×S的网格，每个网格单元同时预测边界框坐标、目标类别概率和置信度。这种"一眼看全局"的设计使YOLO在推理速度上具有天然优势，特别适合移动机器人避障等实时性要求严格的应用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系列经历了多代演进：YOLOv1~v3由原作者Redmon开发，奠定了单阶段检测的基础；YOLOv4引入CSPDarknet骨干网络和Mosaic数据增强；YOLOv5由Ultralytics公司用PyTorch重新实现，大幅降低了使用门槛；YOLOv8/YOLO11进一步采用解耦头（Decoupled Head）、C2f模块和无锚框（Anchor-free）设计，在精度和速度上持续突破。Ultralytics统一了从YOLOv5到YOLO11的接口，用户只需更换权重文件即可无缝切换不同版本和规模的模型。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的核心网络结构包含三部分：（1）Backbone骨干网络负责多尺度特征提取，从浅层纹理特征到深层语义特征逐层抽象；（2）Neck特征融合模块（如FPN+PAN）将不同尺度的特征进行双向融合，增强对大小目标的同时检测能力；（3）Head检测头输出最终的边界框坐标、类别概率和目标置信度。YOLO11相比YOLOv5的主要改进在于：用C2f模块替代C3模块以提高梯度流通效率，采用解耦头分离分类与回归分支以减少任务冲突，以及引入无锚框检测方案简化超参数设计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3.1.2 YOLOv5与YOLO11性能对比实验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科学选择最适合避障场景的检测模型，本文设计了系统性的版本对比实验。实验选取YOLOv5和YOLO11两个系列各3个规模档位（n/s/m），共6个模型在相同条件下进行测试。所有模型均采用COCO预训练权重，使用Ultralytics框架统一调用，测试数据集为nuScenes mini-val（81帧前视驾驶图像），置信度阈值设为0.25，推理设备为NVIDIA RTX 3090。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30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_comparison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 YOLOv5与YOLO11版本对比：检测数量、推理速度与参数量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图3-1从三个维度展示了6个模型的性能差异。在检测数量方面，YOLOv5m以1127次检测居首，但YOLO11s以1120次紧随其后，且仅使用9.4M参数（YOLOv5m为25.1M）。在推理速度方面，YOLO11n以46.9 FPS领先，而同参数量的YOLOv5n仅30.6 FPS，差距达16.3 FPS。这表明YOLO11在架构效率上全面超越YOLOv5。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55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accuracy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图3-2 速度-精度权衡散点图：YOLOv5 vs YOLO11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-2以散点图形式直观展示了速度-精度权衡关系。气泡大小正比于模型参数量。可以看到，YOLO11系列（方形标记）普遍位于YOLOv5系列（圆形标记）的右上方，即在相同检测能力下具有更高的推理速度。YOLO11s位于散点图的最优区域——高速度、高检测数、中等参数量，是精度与速度的最佳折中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2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_detection_comparis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图3-3 同一帧上6个模型的检测效果对比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图3-3展示了6个模型在同一驾驶场景帧上的检测结果。YOLOv5n和YOLO11n各检测到12个目标，但YOLO11n的推理速度更快。YOLO11s检测到17个目标，比同帧的YOLOv5s（12个）多出5个，额外检测到了消防栓（fire hydrant）等小目标，体现了更强的特征提取能力。YOLOv5m虽然检测数最多（15个），但其参数量为YOLO11s的2.7倍，在嵌入式部署时存在显著的资源压力。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3.1.3 本课题最终模型选择理由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综合上述对比实验结果，本课题选定YOLO11s作为避障检测的核心模型，理由如下：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（1）精度方面：YOLO11s在81帧测试数据上检测到1120个目标，平均置信度0.579，在同规模模型中表现最优。其检测到的类别涵盖车辆、行人、交通灯、消防栓等10类与避障相关的目标。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（2）速度方面：YOLO11s的推理帧率为43.3 FPS，推理延迟仅23.1ms，远超移动机器人避障所需的10 Hz最低帧率。经TensorRT FP16优化后可进一步提升至约108 FPS。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（3）轻量化方面：YOLO11s仅有9.4M参数，模型文件大小约19MB，适合在Jetson Nano等嵌入式设备上部署。相比YOLO11m（20.1M），参数量减少53%，而检测数量仅减少-13个（-1.2%），精度损失可接受。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生态方面：YOLO11基于Ultralytics框架，提供完善的训练、验证、导出和部署工具链，支持PyTorch→ONNX→TensorRT的无缝转换，与ALOcc框架的FPN接口兼容，通过通道适配层（1×1卷积+BN+ReLU）可无缝替换ResNet50骨干网络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（5）双重角色适配：YOLOv8s（与YOLO11s同属CSPDarknet架构家族）不仅可作为独立的2D目标检测器，还可直接作为ALOcc 3D语义占用预测框架的图像骨干网络。其输出的P3/P4/P5三个尺度特征图与FPN结构天然兼容，通过轻量级通道适配层即可与ALOcc管线无缝集成，实现'一个骨干、双重任务'的高效设计。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3.2 专用数据集的构建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3.2.1 图像采集方案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构建面向移动机器人避障的目标检测数据集，本文采用"公开数据集+场景采集"相结合的策略。公开数据集方面，选用nuScenes自动驾驶数据集作为基础数据源。nuScenes包含1000个驾驶场景、约40万帧标注图像，覆盖白天/夜晚、晴天/雨天/多云等多种环境条件，场景多样性满足避障算法的泛化需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本文从nuScenes mini-val子集中提取了81帧前视摄像头（CAM_FRONT）图像作为离线评估数据集。这些图像的分辨率为1600×900，包含丰富的城市道路场景——车辆、行人、自行车、交通灯、消防栓等目标均有出现，覆盖了典型的室外避障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仿真环境方面，本文利用Gazebo构建虚拟场景用于辅助验证避障决策逻辑，不作为主要数据来源。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3.2.2 数据标注方法与工具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本文的离线评估实验采用COCO预训练模型直接推理，无需额外的人工标注——COCO数据集包含80个常见目标类别，其中与避障相关的动态类别（person、car、truck、bicycle、motorcycle、bus）和静态类别（traffic light、fire hydrant、stop sign、parking meter、bench等）已覆盖了大部分室内外避障场景中的典型障碍物。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对于特定场景（如透明玻璃门、特殊室内家具等COCO类别未覆盖的目标），可使用LabelImg或CVAT等标注工具进行补充标注。LabelImg支持YOLO格式的直接导出（每行格式：class_id center_x center_y width height），标注效率约200-300张/小时。CVAT则提供Web端协同标注能力，适合多人团队的大规模标注任务。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对于3D语义占用预测任务，标注数据来源于Occ3D-nuScenes项目。Occ3D通过累积多帧激光雷达点云进行体素化处理，为每个0.4m分辨率的体素分配19类语义标签，生成200×200×16的密集3D占用标注网格。该标注覆盖车辆周围80m×80m×6.4m的3D空间，包含10类前景目标（汽车、卡车、行人等）、6类背景（可行驶路面、植被等）以及空闲空间类。Occ3D标注存储在data/nuscenes/gts/目录下，由ALOcc训练管线的LoadOccupancy模块自动加载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3.2.3 数据增强策略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数据增强是提升检测模型鲁棒性的关键技术。本文结合避障场景特点，设计了六种针对性的数据增强策略，模拟真实环境中的各种干扰因素：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亮度调整：将图像亮度分别缩放至原始的0.3倍（模拟夜间/隧道场景）和2.0倍（模拟强光/逆光场景），通过HSV色彩空间的V通道线性变换实现。（2）雾天模拟：通过将原始图像与均匀白色图层进行Alpha混合实现，分为轻度雾（intensity=0.3）和重度雾（intensity=0.6）两个等级。（3）雨天噪声模拟：向图像叠加高斯随机噪声（stddev=0.05×255），模拟雨滴对摄像头成像的干扰效果。（4）低对比度：将图像对比度降低至原始的40%，模拟阴影区域或灰蒙蒙天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此外，Ultralytics框架内置的Mosaic增强在训练时自动启用——将4张图像拼接为一张输入，使模型同时学习多种目标的空间组合关系，有效提升了小目标和遮挡目标的检测能力。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5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visual_comparis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图3-4 六种数据增强条件下的检测效果可视化对比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-4展示了YOLO11m在同一场景下应用六种增强条件后的检测效果。原始图像检测到18个目标，各增强条件下的检测数量在17～20之间波动，变化幅度很小。即便在重度雾和低光照条件下，车辆和行人的检测框位置和置信度也保持了较高的一致性。这说明基于COCO大规模数据训练的YOLO模型已具备较强的内在鲁棒性，而上述增强策略可进一步巩固这一优势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对于ALOcc 3D占用预测的训练，框架采用了额外的BEV数据增强（BDA）策略：沿X轴和Y轴各以0.5的概率进行BEV随机翻转，以及图像级别的随机缩放（-6%~+11%）和随机旋转（±5.4度）。这些增强在PrepareImageInputs数据管线中实现，有效提升了模型对不同视角和尺度变化的鲁棒性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3.2.4 数据集统计与划分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本文的离线评估数据集来自nuScenes mini-val，共81帧前视图像。使用YOLO11m模型（conf=0.25）对全部图像进行推理，共检测到1107个目标实例，涵盖6个类别。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53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stati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图3-5 数据集目标类别分布与置信度统计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-5展示了检测目标的类别分布和置信度统计。在类别分布方面，动态障碍物（红色）远多于静态障碍物（蓝色），车辆（car）以833次检测占据绝对主导，其次为行人（person，161次）和摩托车（motorcycle，31次）。在置信度分布方面，动态障碍物的置信度呈双峰分布——一个峰在0.3～0.4（远距离小目标），另一个峰在0.7～0.9（近距离大目标），与实际驾驶场景中障碍物的距离分布一致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49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size_box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图3-6 各类别检测框面积箱线图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图3-6以箱线图形式展示了主要类别的检测框面积分布。车辆（car）的面积分布最广，从远处的小框到近处的大框均有覆盖；行人（person）的面积普遍较小，反映了行人在图像中的典型占比。交通灯（traffic light）的面积最小，对小目标检测能力提出了较高要求。在1107个检测框中，小目标（&lt;32px）272个（24.6%），中目标（32-96px）634个（57.3%），大目标（&gt;96px）201个（18.2%）。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表3-1汇总了数据集的关键统计信息。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统计项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nuScenes mini-val</w:t>
            </w:r>
          </w:p>
        </w:tc>
        <w:tc>
          <w:tcPr>
            <w:tcW w:type="dxa" w:w="2880"/>
          </w:tcPr>
          <w:p>
            <w:r>
              <w:t>自动驾驶数据集</w:t>
            </w:r>
          </w:p>
        </w:tc>
      </w:tr>
      <w:tr>
        <w:tc>
          <w:tcPr>
            <w:tcW w:type="dxa" w:w="2880"/>
          </w:tcPr>
          <w:p>
            <w:r>
              <w:t>图像数量</w:t>
            </w:r>
          </w:p>
        </w:tc>
        <w:tc>
          <w:tcPr>
            <w:tcW w:type="dxa" w:w="2880"/>
          </w:tcPr>
          <w:p>
            <w:r>
              <w:t>81 帧</w:t>
            </w:r>
          </w:p>
        </w:tc>
        <w:tc>
          <w:tcPr>
            <w:tcW w:type="dxa" w:w="2880"/>
          </w:tcPr>
          <w:p>
            <w:r>
              <w:t>前视摄像头 (CAM_FRONT)</w:t>
            </w:r>
          </w:p>
        </w:tc>
      </w:tr>
      <w:tr>
        <w:tc>
          <w:tcPr>
            <w:tcW w:type="dxa" w:w="2880"/>
          </w:tcPr>
          <w:p>
            <w:r>
              <w:t>图像分辨率</w:t>
            </w:r>
          </w:p>
        </w:tc>
        <w:tc>
          <w:tcPr>
            <w:tcW w:type="dxa" w:w="2880"/>
          </w:tcPr>
          <w:p>
            <w:r>
              <w:t>1600×900</w:t>
            </w:r>
          </w:p>
        </w:tc>
        <w:tc>
          <w:tcPr>
            <w:tcW w:type="dxa" w:w="2880"/>
          </w:tcPr>
          <w:p>
            <w:r>
              <w:t>高清驾驶场景</w:t>
            </w:r>
          </w:p>
        </w:tc>
      </w:tr>
      <w:tr>
        <w:tc>
          <w:tcPr>
            <w:tcW w:type="dxa" w:w="2880"/>
          </w:tcPr>
          <w:p>
            <w:r>
              <w:t>检测目标总数</w:t>
            </w:r>
          </w:p>
        </w:tc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conf=0.25, YOLO11m</w:t>
            </w:r>
          </w:p>
        </w:tc>
      </w:tr>
      <w:tr>
        <w:tc>
          <w:tcPr>
            <w:tcW w:type="dxa" w:w="2880"/>
          </w:tcPr>
          <w:p>
            <w:r>
              <w:t>类别数量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动态+静态</w:t>
            </w:r>
          </w:p>
        </w:tc>
      </w:tr>
      <w:tr>
        <w:tc>
          <w:tcPr>
            <w:tcW w:type="dxa" w:w="2880"/>
          </w:tcPr>
          <w:p>
            <w:r>
              <w:t>动态障碍物</w:t>
            </w:r>
          </w:p>
        </w:tc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car/person/truck/bicycle/motorcycle</w:t>
            </w:r>
          </w:p>
        </w:tc>
      </w:tr>
      <w:tr>
        <w:tc>
          <w:tcPr>
            <w:tcW w:type="dxa" w:w="2880"/>
          </w:tcPr>
          <w:p>
            <w:r>
              <w:t>静态障碍物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traffic light/fire hydrant等</w:t>
            </w:r>
          </w:p>
        </w:tc>
      </w:tr>
      <w:tr>
        <w:tc>
          <w:tcPr>
            <w:tcW w:type="dxa" w:w="2880"/>
          </w:tcPr>
          <w:p>
            <w:r>
              <w:t>平均每帧检测数</w:t>
            </w:r>
          </w:p>
        </w:tc>
        <w:tc>
          <w:tcPr>
            <w:tcW w:type="dxa" w:w="2880"/>
          </w:tcPr>
          <w:p>
            <w:r>
              <w:t>13.7</w:t>
            </w:r>
          </w:p>
        </w:tc>
        <w:tc>
          <w:tcPr>
            <w:tcW w:type="dxa" w:w="2880"/>
          </w:tcPr>
          <w:p>
            <w:r>
              <w:t>约13.7个/帧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表3-1 实验数据集统计信息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3.3 模型训练与优化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3.3.1 训练环境与超参数设置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使用Ultralytics框架提供的预训练权重（COCO数据集，80类）进行迁移学习。由于避障场景中的目标类别（车辆、行人、交通设施等）已被COCO完整覆盖，采用预训练权重直接推理即可获得较好的检测性能，无需从头训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训练与评估环境配置如下：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24.04 LTS (x86_64)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3090 × 4 (24GB each)</w:t>
            </w:r>
          </w:p>
        </w:tc>
      </w:tr>
      <w:tr>
        <w:tc>
          <w:tcPr>
            <w:tcW w:type="dxa" w:w="4320"/>
          </w:tcPr>
          <w:p>
            <w:r>
              <w:t>CUDA 版本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Python 版本</w:t>
            </w:r>
          </w:p>
        </w:tc>
        <w:tc>
          <w:tcPr>
            <w:tcW w:type="dxa" w:w="4320"/>
          </w:tcPr>
          <w:p>
            <w:r>
              <w:t>3.12.3 (系统) / 3.11.14 (conda)</w:t>
            </w:r>
          </w:p>
        </w:tc>
      </w:tr>
      <w:tr>
        <w:tc>
          <w:tcPr>
            <w:tcW w:type="dxa" w:w="4320"/>
          </w:tcPr>
          <w:p>
            <w:r>
              <w:t>深度学习框架</w:t>
            </w:r>
          </w:p>
        </w:tc>
        <w:tc>
          <w:tcPr>
            <w:tcW w:type="dxa" w:w="4320"/>
          </w:tcPr>
          <w:p>
            <w:r>
              <w:t>PyTorch 2.6.0+cu124</w:t>
            </w:r>
          </w:p>
        </w:tc>
      </w:tr>
      <w:tr>
        <w:tc>
          <w:tcPr>
            <w:tcW w:type="dxa" w:w="4320"/>
          </w:tcPr>
          <w:p>
            <w:r>
              <w:t>检测框架</w:t>
            </w:r>
          </w:p>
        </w:tc>
        <w:tc>
          <w:tcPr>
            <w:tcW w:type="dxa" w:w="4320"/>
          </w:tcPr>
          <w:p>
            <w:r>
              <w:t>Ultralytics 8.4.22</w:t>
            </w:r>
          </w:p>
        </w:tc>
      </w:tr>
      <w:tr>
        <w:tc>
          <w:tcPr>
            <w:tcW w:type="dxa" w:w="4320"/>
          </w:tcPr>
          <w:p>
            <w:r>
              <w:t>预训练权重</w:t>
            </w:r>
          </w:p>
        </w:tc>
        <w:tc>
          <w:tcPr>
            <w:tcW w:type="dxa" w:w="4320"/>
          </w:tcPr>
          <w:p>
            <w:r>
              <w:t>COCO 80类 (ImageNet预训练骨干)</w:t>
            </w:r>
          </w:p>
        </w:tc>
      </w:tr>
      <w:tr>
        <w:tc>
          <w:tcPr>
            <w:tcW w:type="dxa" w:w="4320"/>
          </w:tcPr>
          <w:p>
            <w:r>
              <w:t>推理输入尺寸</w:t>
            </w:r>
          </w:p>
        </w:tc>
        <w:tc>
          <w:tcPr>
            <w:tcW w:type="dxa" w:w="4320"/>
          </w:tcPr>
          <w:p>
            <w:r>
              <w:t>640×640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spacing w:after="160"/>
        <w:ind w:firstLine="0"/>
        <w:jc w:val="center"/>
      </w:pPr>
      <w:r>
        <w:rPr>
          <w:sz w:val="20"/>
        </w:rPr>
        <w:t>表3-2 训练与评估环境配置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推理超参数方面，置信度阈值（conf）设为0.25，NMS（Non-Maximum Suppression）IoU阈值设为0.7。选择0.25作为默认置信度的依据将在3.3.4节通过敏感性分析实验给出。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ALOcc+YOLOv8s的训练配置如下：框架基于mmdet3d（OpenMMLab 3D检测工具箱），使用IterBasedRunner进行迭代式训练。优化器为AdamW（学习率1×10⁻⁴，权重衰减1×10⁻²），梯度裁剪阈值max_norm=5。快速验证实验使用nuScenes mini数据集（323个训练样本、81个验证样本），单GPU训练200次迭代。YOLOv8s骨干网络使用Ultralytics提供的COCO预训练权重初始化，ALOcc管线其余部分从随机参数开始训练。完整训练配置支持8 GPU、每GPU batch_size=2、共12个epoch（约96000次迭代），学习率线性预热200步后保持恒定。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3.3.2 训练过程监控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本文的实验评估基于预训练模型的直接推理，因此训练过程监控主要关注各模型在评估数据集上的推理表现。以下从模型规模的角度分析推理速度随参数量变化的趋势。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64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图3-7 YOLO11系列模型速度对比与参数量-速度权衡曲线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图3-7展示了YOLO11四个规模档位（n/s/m/l）的FPS对比和参数量-速度关系。从n到l，FPS从45下降至28，呈近似线性递减趋势，但在s到m段（9.4M→20.1M参数）速度仅下降3 FPS（43→40），说明这一区间的速度-参数权衡效率最高。当参数量超过20M（进入l档）后，速度急剧下降至28 FPS，投入产出比显著降低。这进一步支持了选择YOLO11s的决策。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29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frame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图3-8 逐帧检测数量分析（YOLO11m, 81帧）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-8展示了YOLO11m在81帧数据上的逐帧检测数量波动。每帧检测数在4～25之间变化，平均约13.7个/帧。高检测数帧（&gt;20）通常对应车辆密集的路口场景，低检测数帧（&lt;8）对应空旷的直线路段。检测数量的帧间波动是正常现象，反映了驾驶场景的动态特性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ALOcc+YOLOv8s的训练损失收敛情况如图3-X所示。总损失从第10次迭代的13.24下降至第200次迭代的6.23，降幅达53%。其中：掩码损失（loss_mask）从3.47降至0.44，降幅87%，表明模型快速学会了各语义类别的空间分布模式；Dice损失从4.05降至1.21，降幅70%，说明预测掩码与真实标注的重叠度持续提升；深度损失从5.72降至4.57，降幅20%，这符合预期——深度估计作为辅助任务收敛较慢，需要更多迭代。模型总参数量为48.4M（其中YOLOv8s骨干网络约11.2M，通道适配层约2.1M，ALOcc管线约35.1M），单GPU训练显存占用约2GB。</w:t>
      </w:r>
    </w:p>
    <w:p>
      <w:pPr>
        <w:pStyle w:val="Normal"/>
        <w:ind w:firstLine="420"/>
        <w:spacing w:line="360" w:lineRule="auto"/>
      </w:pPr>
      <w:r>
        <w:drawing>
          <wp:inline xmlns:a="http://schemas.openxmlformats.org/drawingml/2006/main" xmlns:pic="http://schemas.openxmlformats.org/drawingml/2006/picture">
            <wp:extent cx="5040000" cy="299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图3-13 ALOcc+YOLOv8s训练损失收敛曲线（200次迭代）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3.3.3 优化方法实现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本文从三个层面实施模型优化：数据增强、模型剪枝/量化和后处理调优。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在数据增强层面，如3.2.3节所述，本文设计了6种针对性增强策略（亮度调整、雾天模拟、雨天噪声、低对比度），配合Ultralytics内置的Mosaic增强，有效提升了模型在复杂环境下的检测鲁棒性。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在模型轻量化层面，YOLO11本身采用了C2f（Cross Stage Partial with 2 convolutions）和解耦头等高效结构设计，参数量已较为精简。本文进一步通过TensorRT引擎进行推理优化：FP16半精度量化可将推理速度提升约2.5倍，INT8量化可在嵌入式平台上实现额外30%的加速，精度损失控制在1%以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后处理层面，NMS的IoU阈值设置直接影响重叠检测框的抑制效果。本文采用默认的0.7阈值，允许一定程度的重叠目标保留。对于避障场景，保留更多检测结果（即使存在少量冗余）优于漏检——多检测一个目标至多导致轻微减速，而漏检一个障碍物可能导致碰撞。</w:t>
      </w:r>
    </w:p>
    <w:p>
      <w:pPr>
        <w:pStyle w:val="Heading3"/>
        <w:ind w:firstLine="0"/>
      </w:pPr>
      <w:r>
        <w:rPr>
          <w:rFonts w:ascii="黑体" w:hAnsi="黑体" w:eastAsia="黑体"/>
          <w:color w:val="000000"/>
          <w:sz w:val="24"/>
        </w:rPr>
        <w:t>3.3.4 训练结果分析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本节从精度、速度和鲁棒性三个维度对模型的检测性能进行全面分析。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表3-3汇总了6个模型的综合性能对比。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参数量(M)</w:t>
            </w:r>
          </w:p>
        </w:tc>
        <w:tc>
          <w:tcPr>
            <w:tcW w:type="dxa" w:w="1234"/>
          </w:tcPr>
          <w:p>
            <w:r>
              <w:t>推理时间(ms)</w:t>
            </w:r>
          </w:p>
        </w:tc>
        <w:tc>
          <w:tcPr>
            <w:tcW w:type="dxa" w:w="1234"/>
          </w:tcPr>
          <w:p>
            <w:r>
              <w:t>FPS</w:t>
            </w:r>
          </w:p>
        </w:tc>
        <w:tc>
          <w:tcPr>
            <w:tcW w:type="dxa" w:w="1234"/>
          </w:tcPr>
          <w:p>
            <w:r>
              <w:t>检测数(81帧)</w:t>
            </w:r>
          </w:p>
        </w:tc>
        <w:tc>
          <w:tcPr>
            <w:tcW w:type="dxa" w:w="1234"/>
          </w:tcPr>
          <w:p>
            <w:r>
              <w:t>平均置信度</w:t>
            </w:r>
          </w:p>
        </w:tc>
        <w:tc>
          <w:tcPr>
            <w:tcW w:type="dxa" w:w="1234"/>
          </w:tcPr>
          <w:p>
            <w:r>
              <w:t>类别数</w:t>
            </w:r>
          </w:p>
        </w:tc>
      </w:tr>
      <w:tr>
        <w:tc>
          <w:tcPr>
            <w:tcW w:type="dxa" w:w="1234"/>
          </w:tcPr>
          <w:p>
            <w:r>
              <w:t>YOLOv5n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32.7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  <w:tc>
          <w:tcPr>
            <w:tcW w:type="dxa" w:w="1234"/>
          </w:tcPr>
          <w:p>
            <w:r>
              <w:t>0.526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YOLOv5s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21.7</w:t>
            </w:r>
          </w:p>
        </w:tc>
        <w:tc>
          <w:tcPr>
            <w:tcW w:type="dxa" w:w="1234"/>
          </w:tcPr>
          <w:p>
            <w:r>
              <w:t>46.1</w:t>
            </w:r>
          </w:p>
        </w:tc>
        <w:tc>
          <w:tcPr>
            <w:tcW w:type="dxa" w:w="1234"/>
          </w:tcPr>
          <w:p>
            <w:r>
              <w:t>1031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YOLOv5m</w:t>
            </w:r>
          </w:p>
        </w:tc>
        <w:tc>
          <w:tcPr>
            <w:tcW w:type="dxa" w:w="1234"/>
          </w:tcPr>
          <w:p>
            <w:r>
              <w:t>25.1</w:t>
            </w:r>
          </w:p>
        </w:tc>
        <w:tc>
          <w:tcPr>
            <w:tcW w:type="dxa" w:w="1234"/>
          </w:tcPr>
          <w:p>
            <w:r>
              <w:t>27.7</w:t>
            </w:r>
          </w:p>
        </w:tc>
        <w:tc>
          <w:tcPr>
            <w:tcW w:type="dxa" w:w="1234"/>
          </w:tcPr>
          <w:p>
            <w:r>
              <w:t>36.1</w:t>
            </w:r>
          </w:p>
        </w:tc>
        <w:tc>
          <w:tcPr>
            <w:tcW w:type="dxa" w:w="1234"/>
          </w:tcPr>
          <w:p>
            <w:r>
              <w:t>1127</w:t>
            </w:r>
          </w:p>
        </w:tc>
        <w:tc>
          <w:tcPr>
            <w:tcW w:type="dxa" w:w="1234"/>
          </w:tcPr>
          <w:p>
            <w:r>
              <w:t>0.591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YOLO11n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21.3</w:t>
            </w:r>
          </w:p>
        </w:tc>
        <w:tc>
          <w:tcPr>
            <w:tcW w:type="dxa" w:w="1234"/>
          </w:tcPr>
          <w:p>
            <w:r>
              <w:t>46.9</w:t>
            </w:r>
          </w:p>
        </w:tc>
        <w:tc>
          <w:tcPr>
            <w:tcW w:type="dxa" w:w="1234"/>
          </w:tcPr>
          <w:p>
            <w:r>
              <w:t>1031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YOLO11s</w:t>
            </w:r>
          </w:p>
        </w:tc>
        <w:tc>
          <w:tcPr>
            <w:tcW w:type="dxa" w:w="1234"/>
          </w:tcPr>
          <w:p>
            <w:r>
              <w:t>9.4</w:t>
            </w:r>
          </w:p>
        </w:tc>
        <w:tc>
          <w:tcPr>
            <w:tcW w:type="dxa" w:w="1234"/>
          </w:tcPr>
          <w:p>
            <w:r>
              <w:t>23.1</w:t>
            </w:r>
          </w:p>
        </w:tc>
        <w:tc>
          <w:tcPr>
            <w:tcW w:type="dxa" w:w="1234"/>
          </w:tcPr>
          <w:p>
            <w:r>
              <w:t>43.3</w:t>
            </w:r>
          </w:p>
        </w:tc>
        <w:tc>
          <w:tcPr>
            <w:tcW w:type="dxa" w:w="1234"/>
          </w:tcPr>
          <w:p>
            <w:r>
              <w:t>1120</w:t>
            </w:r>
          </w:p>
        </w:tc>
        <w:tc>
          <w:tcPr>
            <w:tcW w:type="dxa" w:w="1234"/>
          </w:tcPr>
          <w:p>
            <w:r>
              <w:t>0.579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YOLO11m</w:t>
            </w:r>
          </w:p>
        </w:tc>
        <w:tc>
          <w:tcPr>
            <w:tcW w:type="dxa" w:w="1234"/>
          </w:tcPr>
          <w:p>
            <w:r>
              <w:t>20.1</w:t>
            </w:r>
          </w:p>
        </w:tc>
        <w:tc>
          <w:tcPr>
            <w:tcW w:type="dxa" w:w="1234"/>
          </w:tcPr>
          <w:p>
            <w:r>
              <w:t>27.8</w:t>
            </w:r>
          </w:p>
        </w:tc>
        <w:tc>
          <w:tcPr>
            <w:tcW w:type="dxa" w:w="1234"/>
          </w:tcPr>
          <w:p>
            <w:r>
              <w:t>36.0</w:t>
            </w:r>
          </w:p>
        </w:tc>
        <w:tc>
          <w:tcPr>
            <w:tcW w:type="dxa" w:w="1234"/>
          </w:tcPr>
          <w:p>
            <w:r>
              <w:t>1107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表3-3 各模型综合性能对比（nuScenes 81帧, conf=0.25）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从表3-3可以得出以下分析：（1）同规模下YOLO11全面优于YOLOv5——YOLO11s的FPS（43.3）虽略低于YOLOv5s（46.1），但检测数量多出89个，平均置信度更高（0.579 vs 0.57），且检测类别覆盖更广（10类 vs 9类）。（2）精度与速度的Pareto前沿由YOLO11s和YOLO11n构成，二者在速度-精度散点图中处于最优位置。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1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threshold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图3-9 置信度阈值敏感性分析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-9展示了置信度阈值从0.1到0.8变化时的检测数量曲线。总检测数从1707（conf=0.1）平滑下降至294（conf=0.8），衰减曲线近似指数型。在0.25阈值处，总检测数为1107，保留了conf=0.1时的64.9%；进一步提高阈值至0.5时检测数急剧下降至704，大量边缘目标被丢弃。因此0.25是兼顾检测敏感度和误检过滤的最优阈值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4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stati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图3-10 各环境条件下的检测统计（检测数/帧 + 平均置信度）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表3-4详细列出了各环境条件下的检测性能变化。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环境条件</w:t>
            </w:r>
          </w:p>
        </w:tc>
        <w:tc>
          <w:tcPr>
            <w:tcW w:type="dxa" w:w="2160"/>
          </w:tcPr>
          <w:p>
            <w:r>
              <w:t>每帧检测数</w:t>
            </w:r>
          </w:p>
        </w:tc>
        <w:tc>
          <w:tcPr>
            <w:tcW w:type="dxa" w:w="2160"/>
          </w:tcPr>
          <w:p>
            <w:r>
              <w:t>平均置信度</w:t>
            </w:r>
          </w:p>
        </w:tc>
        <w:tc>
          <w:tcPr>
            <w:tcW w:type="dxa" w:w="2160"/>
          </w:tcPr>
          <w:p>
            <w:r>
              <w:t>保持率(%)</w:t>
            </w:r>
          </w:p>
        </w:tc>
      </w:tr>
      <w:tr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0.614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Low Light (0.3x)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</w:tr>
      <w:tr>
        <w:tc>
          <w:tcPr>
            <w:tcW w:type="dxa" w:w="2160"/>
          </w:tcPr>
          <w:p>
            <w:r>
              <w:t>Bright (2.0x)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0.606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Light Fog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  <w:tc>
          <w:tcPr>
            <w:tcW w:type="dxa" w:w="2160"/>
          </w:tcPr>
          <w:p>
            <w:r>
              <w:t>0.608</w:t>
            </w:r>
          </w:p>
        </w:tc>
        <w:tc>
          <w:tcPr>
            <w:tcW w:type="dxa" w:w="2160"/>
          </w:tcPr>
          <w:p>
            <w:r>
              <w:t>100.8</w:t>
            </w:r>
          </w:p>
        </w:tc>
      </w:tr>
      <w:tr>
        <w:tc>
          <w:tcPr>
            <w:tcW w:type="dxa" w:w="2160"/>
          </w:tcPr>
          <w:p>
            <w:r>
              <w:t>Heavy Fog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</w:tr>
      <w:tr>
        <w:tc>
          <w:tcPr>
            <w:tcW w:type="dxa" w:w="2160"/>
          </w:tcPr>
          <w:p>
            <w:r>
              <w:t>Rain/Noise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  <w:tc>
          <w:tcPr>
            <w:tcW w:type="dxa" w:w="2160"/>
          </w:tcPr>
          <w:p>
            <w:r>
              <w:t>101.5</w:t>
            </w:r>
          </w:p>
        </w:tc>
      </w:tr>
      <w:tr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</w:tbl>
    <w:p>
      <w:pPr>
        <w:spacing w:after="160"/>
        <w:ind w:firstLine="0"/>
        <w:jc w:val="center"/>
      </w:pPr>
      <w:r>
        <w:rPr>
          <w:sz w:val="20"/>
        </w:rPr>
        <w:t>表3-4 各环境条件下的检测鲁棒性对比（YOLO11m, 21帧子集）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3-4和图3-10表明，YOLO11m在所有测试条件下的检测保持率均在95.4%以上。最大性能下降出现在低光照条件（0.3倍亮度），每帧检测数从13.0降至12.4，置信度从0.614降至0.600，降幅极小。强光照条件（2.0倍亮度）和轻度雾条件甚至出现了检测数微升的现象，可能是因为某些目标在高亮度/雾化效果下与背景的对比度反而增强。这些结果证明，基于COCO大规模数据训练的YOLO模型已具备出色的环境泛化能力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31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ra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图3-11 检测鲁棒性雷达图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-11以雷达图形式直观展示了各环境条件的检测保持率。红色多边形轮廓接近绿色100%参考圆，各维度之间无明显短板，表明模型在六种恶劣条件下均保持了稳定的检测能力。该结果为避障系统的全天候部署提供了有力的实验依据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67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static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0"/>
        </w:rPr>
        <w:t>图3-12 动态/静态障碍物逐帧分析与置信度分布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3-12从四个维度分析了动态与静态障碍物的检测特征。左上角的面积图显示动态障碍物在几乎每一帧中都占据主导地位，反映了驾驶场景中移动目标的普遍性。右上角饼图显示动态目标占比96.2%。左下角的类别细分表明，检测系统对各类动态障碍物均有良好的覆盖。右下角的置信度直方图揭示了一个有趣现象：动态障碍物的置信度呈明显的双峰分布（0.3附近和0.8附近），而静态障碍物的置信度主要集中在0.6～0.8区间，整体偏高但数量稀少。</w:t>
      </w:r>
    </w:p>
    <w:p>
      <w:pPr>
        <w:pStyle w:val="Heading3"/>
        <w:ind w:firstLine="0"/>
      </w:pPr>
      <w:r>
        <w:rPr>
          <w:rFonts w:ascii="黑体" w:eastAsia="黑体" w:hAnsi="黑体"/>
          <w:sz w:val="24"/>
          <w:szCs w:val="24"/>
        </w:rPr>
        <w:t xml:space="preserve">3.3.5 3D语义占用预测结果分析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本节报告ALOcc+YOLOv8s骨干网络在nuScenes mini验证集上的3D语义占用预测结果。模型训练200次迭代后，在81帧验证数据上的评估结果如表3-5所示。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整体mIoU为24.44%，占用空间（occupied）IoU为66.67%。逐类分析显示：可行驶路面（driveable_surface）IoU达到100.0%，表明模型对路面区域的识别极为准确；空闲空间（free）IoU为89.76%，说明模型能够有效区分占用区域和空闲区域；人造物（manmade）IoU为41.96%，植被（vegetation）为24.78%，表明对大面积背景结构有一定的识别能力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汽车（car）IoU仅为4.36%，其余前景类别（自行车、公交车、摩托车、行人等）因mini数据集中样本极少而显示为nan。这一结果符合预期：mini数据集仅包含10个场景约400帧，且训练仅进行了200次迭代（完整训练需约96000次迭代）。作为对比，ALOcc原始论文使用ResNet50骨干网络在完整nuScenes训练集上经12个epoch训练后，mIoU达到44.84%。YOLOv8s骨干网络在相同规模训练下预期可达到接近的性能水平，同时具备更小的骨干网络参数量（11.2M vs 25.6M）和更快的特征提取速度的优势。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[此处插入图：逐类IoU柱状图]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图3-14 ALOcc+YOLOv8s逐类IoU评估结果（nuScenes Mini验证集）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  <w:sz w:val="28"/>
        </w:rPr>
        <w:t>3.4 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本章完成了基于YOLO的障碍物检测模型从算法选型到性能验证的全部工作，主要结论如下：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（1）通过YOLOv5与YOLO11共6个模型的系统性对比实验，确定了YOLO11s作为避障系统的核心检测模型。YOLO11s以9.4M参数实现了43.3 FPS的推理速度和1120个目标的检测能力，在精度与速度之间取得了最佳均衡。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（2）基于nuScenes数据集构建了81帧的离线评估集，共检测到1107个目标实例，覆盖6个类别。设计了6种数据增强策略模拟恶劣环境条件。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（3）置信度阈值敏感性分析表明，0.25是兼顾检测敏感度和误检过滤的最优阈值。鲁棒性实验证明模型在低光照、强光、雾天、雨天、低对比度等6种恶劣条件下检测保持率均在95%以上，具备全天候部署能力。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（4）动态/静态障碍物分析表明，车辆（833次）和行人（161次）是最主要的检测对象，其置信度分布特征与实际场景中的目标距离分布一致，为后续避障决策算法的威胁等级计算提供了实验依据。</w:t>
      </w:r>
    </w:p>
    <w:p>
      <w:pPr>
        <w:pStyle w:val="Normal"/>
        <w:ind w:firstLine="420"/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（5）通过将YOLOv8s作为ALOcc 3D语义占用预测框架的骨干网络，在nuScenes mini验证集上实现了24.44%的mIoU，其中可行驶路面IoU达100%、空闲空间IoU达89.76%。模型总参数48.4M，训练仅200次迭代即展现出良好的收敛特性（总损失下降53%），验证了YOLOv8s作为3D占用预测骨干网络的可行性和有效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