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03EDA" w14:textId="573CB144" w:rsidR="00151ED8" w:rsidRPr="00151ED8" w:rsidRDefault="00C76738" w:rsidP="00C76738">
      <w:pPr>
        <w:pStyle w:val="ListParagraph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AMBER20_DD_BOOST Documentation</w:t>
      </w:r>
    </w:p>
    <w:p w14:paraId="6867D001" w14:textId="384E38F7" w:rsidR="00151ED8" w:rsidRPr="00151ED8" w:rsidRDefault="00151ED8" w:rsidP="00151ED8">
      <w:pPr>
        <w:jc w:val="both"/>
        <w:rPr>
          <w:b/>
          <w:bCs/>
          <w:sz w:val="28"/>
          <w:szCs w:val="28"/>
        </w:rPr>
      </w:pPr>
    </w:p>
    <w:p w14:paraId="697640EC" w14:textId="3055C3A4" w:rsidR="00B504FC" w:rsidRPr="00C76738" w:rsidRDefault="00C76738">
      <w:pPr>
        <w:jc w:val="both"/>
      </w:pPr>
      <w:r>
        <w:t xml:space="preserve">The following table lists the keywords that are specific to AMBER20_DD_BOOST package. </w:t>
      </w:r>
      <w:r w:rsidR="00EE4509">
        <w:t xml:space="preserve">Brief descriptions are provided. For additional details refer to </w:t>
      </w:r>
      <w:hyperlink r:id="rId5" w:history="1">
        <w:r w:rsidR="00EE4509" w:rsidRPr="00EE4509">
          <w:rPr>
            <w:rStyle w:val="Hyperlink"/>
            <w:i/>
            <w:iCs/>
          </w:rPr>
          <w:t>AMBER20 Reference Manual</w:t>
        </w:r>
      </w:hyperlink>
      <w:r w:rsidR="00EE4509">
        <w:t>.</w:t>
      </w:r>
    </w:p>
    <w:p w14:paraId="4F32A388" w14:textId="4E696E8B" w:rsidR="00924728" w:rsidRDefault="00A82E3D">
      <w:pPr>
        <w:jc w:val="both"/>
      </w:pPr>
      <w:r>
        <w:t xml:space="preserve"> </w:t>
      </w:r>
    </w:p>
    <w:tbl>
      <w:tblPr>
        <w:tblW w:w="997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20"/>
        <w:gridCol w:w="2520"/>
        <w:gridCol w:w="4935"/>
      </w:tblGrid>
      <w:tr w:rsidR="00924728" w14:paraId="236FF13B" w14:textId="77777777"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B8674E" w14:textId="77777777" w:rsidR="00924728" w:rsidRDefault="00A82E3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Variables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5FFF71" w14:textId="77777777" w:rsidR="00924728" w:rsidRDefault="00A82E3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Entry</w:t>
            </w:r>
          </w:p>
        </w:tc>
        <w:tc>
          <w:tcPr>
            <w:tcW w:w="4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D75F4E" w14:textId="77777777" w:rsidR="00924728" w:rsidRDefault="00A82E3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24728" w14:paraId="02ACB006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5B3DCB" w14:textId="77777777" w:rsidR="00924728" w:rsidRDefault="00A82E3D">
            <w:pPr>
              <w:jc w:val="both"/>
            </w:pPr>
            <w:proofErr w:type="spellStart"/>
            <w:r>
              <w:t>scalpha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5E87B1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8836D8" w14:textId="6CC89BF4" w:rsidR="00924728" w:rsidRDefault="00EE4509">
            <w:pPr>
              <w:pStyle w:val="TableContents"/>
            </w:pPr>
            <w:r w:rsidRPr="00EE4509">
              <w:t xml:space="preserve">The </w:t>
            </w:r>
            <w:r w:rsidRPr="00EE4509">
              <w:rPr>
                <w:i/>
                <w:iCs/>
              </w:rPr>
              <w:t>α</w:t>
            </w:r>
            <w:r w:rsidRPr="00EE4509">
              <w:t xml:space="preserve"> parameter in </w:t>
            </w:r>
            <w:r>
              <w:t xml:space="preserve">equations </w:t>
            </w:r>
            <w:r w:rsidRPr="00EE4509">
              <w:t>23.5 and 23.6</w:t>
            </w:r>
            <w:r>
              <w:t xml:space="preserve"> in AMBER20 Manual</w:t>
            </w:r>
            <w:r w:rsidRPr="00EE4509">
              <w:t>, its default value is 0.</w:t>
            </w:r>
          </w:p>
        </w:tc>
      </w:tr>
      <w:tr w:rsidR="00924728" w14:paraId="7B6DA0EE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E98875" w14:textId="77777777" w:rsidR="00924728" w:rsidRDefault="00A82E3D">
            <w:pPr>
              <w:jc w:val="both"/>
            </w:pPr>
            <w:proofErr w:type="spellStart"/>
            <w:r>
              <w:t>scbeta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24C5C6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C42289" w14:textId="7337AC12" w:rsidR="00924728" w:rsidRDefault="00EE4509">
            <w:pPr>
              <w:jc w:val="both"/>
            </w:pPr>
            <w:r>
              <w:t xml:space="preserve">The parameter β in equation 23.7 in AMBER20 Manual. Default value is 12 </w:t>
            </w:r>
            <w:r w:rsidR="008F3295">
              <w:rPr>
                <w:rFonts w:ascii="Times New Roman" w:hAnsi="Times New Roman" w:cs="Times New Roman"/>
              </w:rPr>
              <w:t>Å</w:t>
            </w:r>
            <w:r w:rsidRPr="00EE4509">
              <w:rPr>
                <w:vertAlign w:val="superscript"/>
              </w:rPr>
              <w:t>2</w:t>
            </w:r>
            <w:r>
              <w:t xml:space="preserve">. </w:t>
            </w:r>
          </w:p>
        </w:tc>
      </w:tr>
      <w:tr w:rsidR="00924728" w14:paraId="566E62CC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C3CF62" w14:textId="4E319A7C" w:rsidR="00924728" w:rsidRDefault="00A82E3D">
            <w:pPr>
              <w:jc w:val="both"/>
            </w:pPr>
            <w:proofErr w:type="spellStart"/>
            <w:r>
              <w:t>gti_add</w:t>
            </w:r>
            <w:r w:rsidR="00086BDF">
              <w:t>_sc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F7C56E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int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5DFD34" w14:textId="768541E2" w:rsidR="00924728" w:rsidRDefault="00086BDF" w:rsidP="00086BDF">
            <w:pPr>
              <w:pStyle w:val="TableContents"/>
            </w:pPr>
            <w:r>
              <w:t>Flag to control the non-bonded interactions between the common and softcore regions, and within</w:t>
            </w:r>
            <w:r>
              <w:t xml:space="preserve"> </w:t>
            </w:r>
            <w:r>
              <w:t>the softcore regions.</w:t>
            </w:r>
          </w:p>
          <w:p w14:paraId="11C791A1" w14:textId="77777777" w:rsidR="00924728" w:rsidRDefault="00A82E3D">
            <w:pPr>
              <w:pStyle w:val="TableContents"/>
            </w:pPr>
            <w:r>
              <w:t>1: AMBER18 default</w:t>
            </w:r>
          </w:p>
          <w:p w14:paraId="302A89E2" w14:textId="77777777" w:rsidR="00924728" w:rsidRDefault="00A82E3D">
            <w:pPr>
              <w:pStyle w:val="TableContents"/>
            </w:pPr>
            <w:r>
              <w:t>2: AMBER20 default</w:t>
            </w:r>
          </w:p>
          <w:p w14:paraId="6AF86603" w14:textId="77777777" w:rsidR="00924728" w:rsidRDefault="00A82E3D">
            <w:pPr>
              <w:pStyle w:val="TableContents"/>
            </w:pPr>
            <w:r>
              <w:t>5: AMBER20 with torsion term scaled</w:t>
            </w:r>
          </w:p>
        </w:tc>
      </w:tr>
      <w:tr w:rsidR="00924728" w14:paraId="27A419C8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D1008D" w14:textId="77777777" w:rsidR="00924728" w:rsidRDefault="00A82E3D">
            <w:pPr>
              <w:jc w:val="both"/>
            </w:pPr>
            <w:proofErr w:type="spellStart"/>
            <w:r>
              <w:t>gti_scale_beta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0F1642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int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D5D78A" w14:textId="29FD1A74" w:rsidR="00924728" w:rsidRDefault="00CA6038">
            <w:pPr>
              <w:pStyle w:val="TableContents"/>
            </w:pPr>
            <w:r>
              <w:t>Flag to control</w:t>
            </w:r>
            <w:r>
              <w:t xml:space="preserve"> </w:t>
            </w:r>
            <w:proofErr w:type="spellStart"/>
            <w:r w:rsidRPr="00D26833">
              <w:rPr>
                <w:i/>
                <w:iCs/>
              </w:rPr>
              <w:t>scbeta</w:t>
            </w:r>
            <w:proofErr w:type="spellEnd"/>
            <w:r>
              <w:t xml:space="preserve"> behavior.</w:t>
            </w:r>
          </w:p>
          <w:p w14:paraId="73BAA2BF" w14:textId="77777777" w:rsidR="00924728" w:rsidRDefault="00A82E3D">
            <w:pPr>
              <w:pStyle w:val="TableContents"/>
            </w:pPr>
            <w:r>
              <w:t xml:space="preserve">0: default, original </w:t>
            </w:r>
            <w:proofErr w:type="spellStart"/>
            <w:r w:rsidRPr="00D26833">
              <w:rPr>
                <w:i/>
                <w:iCs/>
              </w:rPr>
              <w:t>scbeta</w:t>
            </w:r>
            <w:proofErr w:type="spellEnd"/>
            <w:r>
              <w:t xml:space="preserve"> behavior</w:t>
            </w:r>
          </w:p>
          <w:p w14:paraId="5A025C84" w14:textId="77777777" w:rsidR="00924728" w:rsidRDefault="00A82E3D">
            <w:pPr>
              <w:pStyle w:val="TableContents"/>
            </w:pPr>
            <w:r>
              <w:t xml:space="preserve">1: </w:t>
            </w:r>
            <w:proofErr w:type="spellStart"/>
            <w:r w:rsidRPr="00284FEB">
              <w:rPr>
                <w:i/>
                <w:iCs/>
              </w:rPr>
              <w:t>scbeta</w:t>
            </w:r>
            <w:proofErr w:type="spellEnd"/>
            <w:r>
              <w:t xml:space="preserve"> is defined as unit-less and scaled by </w:t>
            </w:r>
            <w:proofErr w:type="spellStart"/>
            <w:r>
              <w:t>σ</w:t>
            </w:r>
            <w:r>
              <w:rPr>
                <w:vertAlign w:val="subscript"/>
              </w:rPr>
              <w:t>ij</w:t>
            </w:r>
            <w:proofErr w:type="spellEnd"/>
          </w:p>
        </w:tc>
      </w:tr>
      <w:tr w:rsidR="00924728" w14:paraId="317C69C9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7DE1B9" w14:textId="77777777" w:rsidR="00924728" w:rsidRDefault="00A82E3D">
            <w:pPr>
              <w:jc w:val="both"/>
            </w:pPr>
            <w:proofErr w:type="spellStart"/>
            <w:r>
              <w:t>gti_cut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496EC4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int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36D978" w14:textId="009AFCEA" w:rsidR="00924728" w:rsidRDefault="00A82E3D">
            <w:pPr>
              <w:pStyle w:val="TableContents"/>
            </w:pPr>
            <w:r>
              <w:t xml:space="preserve">0: </w:t>
            </w:r>
            <w:r w:rsidR="008F3295">
              <w:t xml:space="preserve">default in versions prior to </w:t>
            </w:r>
            <w:r>
              <w:t>AMBER</w:t>
            </w:r>
            <w:r w:rsidR="008F3295">
              <w:t xml:space="preserve">20. </w:t>
            </w:r>
          </w:p>
          <w:p w14:paraId="5655AD86" w14:textId="77777777" w:rsidR="008F3295" w:rsidRDefault="00A82E3D" w:rsidP="008F3295">
            <w:pPr>
              <w:pStyle w:val="TableContents"/>
            </w:pPr>
            <w:r>
              <w:t xml:space="preserve">1: </w:t>
            </w:r>
            <w:r w:rsidR="008F3295">
              <w:t xml:space="preserve">default, the non-bond cutoff, defined by </w:t>
            </w:r>
            <w:r w:rsidR="008F3295" w:rsidRPr="00284FEB">
              <w:rPr>
                <w:i/>
                <w:iCs/>
              </w:rPr>
              <w:t>cutoff</w:t>
            </w:r>
            <w:r w:rsidR="008F3295">
              <w:t>, will not have effect on the internal softcore</w:t>
            </w:r>
          </w:p>
          <w:p w14:paraId="35419EF8" w14:textId="18F9C82B" w:rsidR="00924728" w:rsidRDefault="008F3295" w:rsidP="008F3295">
            <w:pPr>
              <w:pStyle w:val="TableContents"/>
            </w:pPr>
            <w:r>
              <w:t xml:space="preserve">non-bonded terms. </w:t>
            </w:r>
          </w:p>
        </w:tc>
      </w:tr>
      <w:tr w:rsidR="00924728" w14:paraId="29FB0588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F307C2" w14:textId="77777777" w:rsidR="00924728" w:rsidRDefault="00A82E3D">
            <w:pPr>
              <w:jc w:val="both"/>
            </w:pPr>
            <w:proofErr w:type="spellStart"/>
            <w:r>
              <w:t>gti_cut_sc_on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7D58BE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A44515" w14:textId="6ACE1821" w:rsidR="00924728" w:rsidRDefault="008F3295" w:rsidP="008F3295">
            <w:pPr>
              <w:pStyle w:val="TableContents"/>
            </w:pPr>
            <w:r>
              <w:t xml:space="preserve">Threshold distance for switching on of softcore smoothing. If undefined, </w:t>
            </w:r>
            <w:proofErr w:type="spellStart"/>
            <w:r w:rsidRPr="00D26833">
              <w:rPr>
                <w:i/>
                <w:iCs/>
              </w:rPr>
              <w:t>gti_cut_sc_on</w:t>
            </w:r>
            <w:proofErr w:type="spellEnd"/>
            <w:r>
              <w:t xml:space="preserve"> is set to </w:t>
            </w:r>
            <w:r w:rsidRPr="008F3295">
              <w:rPr>
                <w:i/>
                <w:iCs/>
              </w:rPr>
              <w:t>cutoff</w:t>
            </w:r>
            <w:r>
              <w:t xml:space="preserve"> - 2 </w:t>
            </w:r>
            <w:r>
              <w:rPr>
                <w:rFonts w:ascii="Times New Roman" w:hAnsi="Times New Roman" w:cs="Times New Roman"/>
              </w:rPr>
              <w:t>Å. M</w:t>
            </w:r>
            <w:r w:rsidR="00A82E3D">
              <w:t xml:space="preserve">ust be smaller than the value of </w:t>
            </w:r>
            <w:proofErr w:type="spellStart"/>
            <w:r w:rsidR="00A82E3D" w:rsidRPr="00284FEB">
              <w:rPr>
                <w:i/>
                <w:iCs/>
              </w:rPr>
              <w:t>gti_cut_sc_off</w:t>
            </w:r>
            <w:proofErr w:type="spellEnd"/>
            <w:r w:rsidR="00A82E3D">
              <w:t>.</w:t>
            </w:r>
          </w:p>
        </w:tc>
      </w:tr>
      <w:tr w:rsidR="00924728" w14:paraId="7A202BC1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0FF026" w14:textId="77777777" w:rsidR="00924728" w:rsidRDefault="00A82E3D">
            <w:pPr>
              <w:jc w:val="both"/>
            </w:pPr>
            <w:proofErr w:type="spellStart"/>
            <w:r>
              <w:t>gti_cut_sc_off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7CAF0E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real number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3234CB" w14:textId="577175C3" w:rsidR="00924728" w:rsidRDefault="008F3295">
            <w:pPr>
              <w:pStyle w:val="TableContents"/>
            </w:pPr>
            <w:r>
              <w:t xml:space="preserve">Threshold distance for switching </w:t>
            </w:r>
            <w:proofErr w:type="gramStart"/>
            <w:r>
              <w:t>off of</w:t>
            </w:r>
            <w:proofErr w:type="gramEnd"/>
            <w:r>
              <w:t xml:space="preserve"> softcore smoothing. M</w:t>
            </w:r>
            <w:r w:rsidR="00A82E3D">
              <w:t xml:space="preserve">ust be smaller than </w:t>
            </w:r>
            <w:r>
              <w:t xml:space="preserve">or equal to </w:t>
            </w:r>
            <w:r w:rsidR="00A82E3D">
              <w:t xml:space="preserve">the value of </w:t>
            </w:r>
            <w:r w:rsidR="00A82E3D" w:rsidRPr="008F3295">
              <w:rPr>
                <w:i/>
                <w:iCs/>
              </w:rPr>
              <w:t>cutoff</w:t>
            </w:r>
            <w:r w:rsidR="00A82E3D">
              <w:t>.</w:t>
            </w:r>
          </w:p>
        </w:tc>
      </w:tr>
      <w:tr w:rsidR="00924728" w14:paraId="55A993BE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3B8D6A" w14:textId="77777777" w:rsidR="00924728" w:rsidRDefault="00A82E3D">
            <w:pPr>
              <w:jc w:val="both"/>
            </w:pPr>
            <w:proofErr w:type="spellStart"/>
            <w:r>
              <w:t>gti_lam_sch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ACF08D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int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953149" w14:textId="66E1100D" w:rsidR="00924728" w:rsidRDefault="008F3295">
            <w:pPr>
              <w:pStyle w:val="TableContents"/>
            </w:pPr>
            <w:r>
              <w:t xml:space="preserve">Flag for λ-scheduling. </w:t>
            </w:r>
          </w:p>
          <w:p w14:paraId="01906BC1" w14:textId="2D11225F" w:rsidR="00924728" w:rsidRDefault="00A82E3D">
            <w:pPr>
              <w:pStyle w:val="TableContents"/>
            </w:pPr>
            <w:r>
              <w:t>0: default</w:t>
            </w:r>
            <w:r w:rsidR="008F3295">
              <w:t>, λ-scheduling is disabled.</w:t>
            </w:r>
          </w:p>
          <w:p w14:paraId="1C82815D" w14:textId="0EF5F61C" w:rsidR="00924728" w:rsidRDefault="00A82E3D">
            <w:pPr>
              <w:pStyle w:val="TableContents"/>
            </w:pPr>
            <w:r>
              <w:t>1: λ-scheduling</w:t>
            </w:r>
            <w:r w:rsidR="008F3295">
              <w:t xml:space="preserve"> is enabled.</w:t>
            </w:r>
          </w:p>
        </w:tc>
      </w:tr>
      <w:tr w:rsidR="00924728" w14:paraId="2F79D97A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95C5E3" w14:textId="77777777" w:rsidR="00924728" w:rsidRDefault="00A82E3D">
            <w:pPr>
              <w:jc w:val="both"/>
            </w:pPr>
            <w:proofErr w:type="spellStart"/>
            <w:r>
              <w:t>gti_ele_sc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D5802A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int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A297E9" w14:textId="6DD032A8" w:rsidR="00924728" w:rsidRDefault="001C04E0">
            <w:pPr>
              <w:pStyle w:val="TableContents"/>
            </w:pPr>
            <w:r w:rsidRPr="001C04E0">
              <w:t>Flag for the electrostatic softcore potentials</w:t>
            </w:r>
          </w:p>
          <w:p w14:paraId="72AA9883" w14:textId="0133B4E5" w:rsidR="00924728" w:rsidRDefault="00A82E3D">
            <w:pPr>
              <w:pStyle w:val="TableContents"/>
            </w:pPr>
            <w:r>
              <w:t>0: default</w:t>
            </w:r>
            <w:r w:rsidR="00F84741">
              <w:t xml:space="preserve"> when </w:t>
            </w:r>
            <w:proofErr w:type="spellStart"/>
            <w:r w:rsidR="00F84741" w:rsidRPr="00F84741">
              <w:rPr>
                <w:i/>
                <w:iCs/>
              </w:rPr>
              <w:t>gti_lam_sch</w:t>
            </w:r>
            <w:proofErr w:type="spellEnd"/>
            <w:r w:rsidR="00F84741">
              <w:t xml:space="preserve">=0, </w:t>
            </w:r>
            <w:proofErr w:type="spellStart"/>
            <w:r w:rsidR="00F84741">
              <w:t>smoothstep</w:t>
            </w:r>
            <w:proofErr w:type="spellEnd"/>
            <w:r w:rsidR="00F84741">
              <w:t xml:space="preserve"> function is not utilized.</w:t>
            </w:r>
          </w:p>
          <w:p w14:paraId="15A9D5C0" w14:textId="2090298A" w:rsidR="00924728" w:rsidRDefault="00A82E3D">
            <w:pPr>
              <w:pStyle w:val="TableContents"/>
            </w:pPr>
            <w:r>
              <w:t xml:space="preserve">1: </w:t>
            </w:r>
            <w:proofErr w:type="gramStart"/>
            <w:r>
              <w:t>SSC(</w:t>
            </w:r>
            <w:proofErr w:type="gramEnd"/>
            <w:r>
              <w:t xml:space="preserve">2) </w:t>
            </w:r>
            <w:r w:rsidR="00F84741">
              <w:t xml:space="preserve">is utilized for </w:t>
            </w:r>
            <w:r>
              <w:t xml:space="preserve">electrostatic </w:t>
            </w:r>
            <w:r w:rsidR="00F84741">
              <w:t>interactions</w:t>
            </w:r>
          </w:p>
        </w:tc>
      </w:tr>
      <w:tr w:rsidR="00924728" w14:paraId="1CAD0663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98F608" w14:textId="77777777" w:rsidR="00924728" w:rsidRDefault="00A82E3D">
            <w:pPr>
              <w:jc w:val="both"/>
            </w:pPr>
            <w:proofErr w:type="spellStart"/>
            <w:r>
              <w:t>gti_vdw_sc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239382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int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5C1811" w14:textId="77777777" w:rsidR="00F84741" w:rsidRDefault="00F84741">
            <w:pPr>
              <w:pStyle w:val="TableContents"/>
            </w:pPr>
            <w:r w:rsidRPr="001C04E0">
              <w:t xml:space="preserve">Flag for the </w:t>
            </w:r>
            <w:proofErr w:type="spellStart"/>
            <w:r>
              <w:t>vdW</w:t>
            </w:r>
            <w:proofErr w:type="spellEnd"/>
            <w:r w:rsidRPr="001C04E0">
              <w:t xml:space="preserve"> softcore potentials</w:t>
            </w:r>
            <w:r>
              <w:t xml:space="preserve"> </w:t>
            </w:r>
          </w:p>
          <w:p w14:paraId="7B97443A" w14:textId="17EF5EE7" w:rsidR="00924728" w:rsidRDefault="00A82E3D">
            <w:pPr>
              <w:pStyle w:val="TableContents"/>
            </w:pPr>
            <w:r>
              <w:t>0: default</w:t>
            </w:r>
            <w:r w:rsidR="00F84741">
              <w:t xml:space="preserve"> when </w:t>
            </w:r>
            <w:proofErr w:type="spellStart"/>
            <w:r w:rsidR="00F84741" w:rsidRPr="00F84741">
              <w:rPr>
                <w:i/>
                <w:iCs/>
              </w:rPr>
              <w:t>gti_lam_sch</w:t>
            </w:r>
            <w:proofErr w:type="spellEnd"/>
            <w:r w:rsidR="00F84741">
              <w:t xml:space="preserve">=0, </w:t>
            </w:r>
            <w:proofErr w:type="spellStart"/>
            <w:r w:rsidR="00F84741">
              <w:t>smoothstep</w:t>
            </w:r>
            <w:proofErr w:type="spellEnd"/>
            <w:r w:rsidR="00F84741">
              <w:t xml:space="preserve"> function is not utilized.</w:t>
            </w:r>
          </w:p>
          <w:p w14:paraId="752161AC" w14:textId="606FCD36" w:rsidR="00924728" w:rsidRDefault="00A82E3D">
            <w:pPr>
              <w:pStyle w:val="TableContents"/>
            </w:pPr>
            <w:r>
              <w:t xml:space="preserve">1: </w:t>
            </w:r>
            <w:proofErr w:type="gramStart"/>
            <w:r>
              <w:t>SSC(</w:t>
            </w:r>
            <w:proofErr w:type="gramEnd"/>
            <w:r>
              <w:t xml:space="preserve">2) </w:t>
            </w:r>
            <w:r w:rsidR="00F84741">
              <w:t>is utilized</w:t>
            </w:r>
            <w:r>
              <w:t xml:space="preserve"> </w:t>
            </w:r>
            <w:r w:rsidR="00F84741">
              <w:t>for</w:t>
            </w:r>
            <w:r>
              <w:t xml:space="preserve"> </w:t>
            </w:r>
            <w:proofErr w:type="spellStart"/>
            <w:r>
              <w:t>v</w:t>
            </w:r>
            <w:r w:rsidR="00284FEB">
              <w:t>d</w:t>
            </w:r>
            <w:r>
              <w:t>W</w:t>
            </w:r>
            <w:proofErr w:type="spellEnd"/>
            <w:r>
              <w:t xml:space="preserve"> </w:t>
            </w:r>
            <w:r w:rsidR="00F84741">
              <w:t>interactions</w:t>
            </w:r>
          </w:p>
        </w:tc>
      </w:tr>
      <w:tr w:rsidR="00924728" w14:paraId="298DDC3B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DAC408" w14:textId="77777777" w:rsidR="00924728" w:rsidRDefault="00A82E3D">
            <w:pPr>
              <w:jc w:val="both"/>
            </w:pPr>
            <w:proofErr w:type="spellStart"/>
            <w:r>
              <w:t>gti_cut_sc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9F25FF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int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7FF2D4" w14:textId="6FAD4EFC" w:rsidR="00F84741" w:rsidRDefault="00F84741">
            <w:pPr>
              <w:pStyle w:val="TableContents"/>
            </w:pPr>
            <w:r>
              <w:t xml:space="preserve">Flag to determine if tail smoothing will be applied to softcore potentials. </w:t>
            </w:r>
          </w:p>
          <w:p w14:paraId="65FABADF" w14:textId="3E44F536" w:rsidR="00924728" w:rsidRDefault="00A82E3D">
            <w:pPr>
              <w:pStyle w:val="TableContents"/>
            </w:pPr>
            <w:r>
              <w:lastRenderedPageBreak/>
              <w:t>0: default, no tail smoothing to SC</w:t>
            </w:r>
          </w:p>
          <w:p w14:paraId="5EDFDEF1" w14:textId="71EDD2D8" w:rsidR="00924728" w:rsidRDefault="00A82E3D">
            <w:pPr>
              <w:pStyle w:val="TableContents"/>
            </w:pPr>
            <w:r>
              <w:t>1: add smoothing to SC-</w:t>
            </w:r>
            <w:proofErr w:type="spellStart"/>
            <w:r w:rsidR="00284FEB">
              <w:t>vd</w:t>
            </w:r>
            <w:r>
              <w:t>W</w:t>
            </w:r>
            <w:proofErr w:type="spellEnd"/>
            <w:r>
              <w:t xml:space="preserve">, beginning at </w:t>
            </w:r>
            <w:proofErr w:type="spellStart"/>
            <w:r w:rsidRPr="00284FEB">
              <w:rPr>
                <w:i/>
                <w:iCs/>
              </w:rPr>
              <w:t>gti_cut_sc_on</w:t>
            </w:r>
            <w:proofErr w:type="spellEnd"/>
            <w:r>
              <w:t xml:space="preserve"> and ending at </w:t>
            </w:r>
            <w:proofErr w:type="spellStart"/>
            <w:r w:rsidRPr="00284FEB">
              <w:rPr>
                <w:i/>
                <w:iCs/>
              </w:rPr>
              <w:t>gti_cut_sc_off</w:t>
            </w:r>
            <w:proofErr w:type="spellEnd"/>
            <w:r>
              <w:t xml:space="preserve">; using </w:t>
            </w:r>
            <w:proofErr w:type="gramStart"/>
            <w:r>
              <w:t>SSC(</w:t>
            </w:r>
            <w:proofErr w:type="gramEnd"/>
            <w:r>
              <w:t>2).</w:t>
            </w:r>
          </w:p>
          <w:p w14:paraId="4D78ACE6" w14:textId="2B5D1A10" w:rsidR="00924728" w:rsidRDefault="00A82E3D">
            <w:pPr>
              <w:pStyle w:val="TableContents"/>
            </w:pPr>
            <w:r>
              <w:t>2: add smoothing to SC-</w:t>
            </w:r>
            <w:proofErr w:type="spellStart"/>
            <w:r>
              <w:t>v</w:t>
            </w:r>
            <w:r w:rsidR="00284FEB">
              <w:t>d</w:t>
            </w:r>
            <w:r>
              <w:t>W</w:t>
            </w:r>
            <w:proofErr w:type="spellEnd"/>
            <w:r>
              <w:t xml:space="preserve"> and SC-</w:t>
            </w:r>
            <w:proofErr w:type="spellStart"/>
            <w:r>
              <w:t>elec</w:t>
            </w:r>
            <w:proofErr w:type="spellEnd"/>
            <w:r>
              <w:t xml:space="preserve">, beginning at </w:t>
            </w:r>
            <w:proofErr w:type="spellStart"/>
            <w:r w:rsidRPr="00284FEB">
              <w:rPr>
                <w:i/>
                <w:iCs/>
              </w:rPr>
              <w:t>gti_cut_sc_on</w:t>
            </w:r>
            <w:proofErr w:type="spellEnd"/>
            <w:r>
              <w:t xml:space="preserve"> and ending at </w:t>
            </w:r>
            <w:proofErr w:type="spellStart"/>
            <w:r w:rsidRPr="00284FEB">
              <w:rPr>
                <w:i/>
                <w:iCs/>
              </w:rPr>
              <w:t>gti_cut_sc_off</w:t>
            </w:r>
            <w:proofErr w:type="spellEnd"/>
            <w:r>
              <w:t>.</w:t>
            </w:r>
          </w:p>
        </w:tc>
      </w:tr>
      <w:tr w:rsidR="00924728" w14:paraId="373706FD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4693C2" w14:textId="77777777" w:rsidR="00924728" w:rsidRDefault="00A82E3D">
            <w:pPr>
              <w:jc w:val="both"/>
            </w:pPr>
            <w:proofErr w:type="spellStart"/>
            <w:r>
              <w:lastRenderedPageBreak/>
              <w:t>gti_ele_exp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9F4887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int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433438" w14:textId="6021932D" w:rsidR="00924728" w:rsidRDefault="00A82E3D">
            <w:pPr>
              <w:pStyle w:val="TableContents"/>
            </w:pPr>
            <w:r>
              <w:t xml:space="preserve">The exponent of </w:t>
            </w:r>
            <w:proofErr w:type="spellStart"/>
            <w:r>
              <w:t>r</w:t>
            </w:r>
            <w:r>
              <w:rPr>
                <w:vertAlign w:val="subscript"/>
              </w:rPr>
              <w:t>elec</w:t>
            </w:r>
            <w:proofErr w:type="spellEnd"/>
            <w:r>
              <w:rPr>
                <w:vertAlign w:val="subscript"/>
              </w:rPr>
              <w:t xml:space="preserve">, </w:t>
            </w:r>
            <w:proofErr w:type="spellStart"/>
            <w:r>
              <w:rPr>
                <w:vertAlign w:val="subscript"/>
              </w:rPr>
              <w:t>sc</w:t>
            </w:r>
            <w:proofErr w:type="spellEnd"/>
            <w:r>
              <w:t xml:space="preserve"> (m) in the softcore fun</w:t>
            </w:r>
            <w:r w:rsidR="00284FEB">
              <w:t>c</w:t>
            </w:r>
            <w:r>
              <w:t>tion; the default value is 2.</w:t>
            </w:r>
          </w:p>
        </w:tc>
      </w:tr>
      <w:tr w:rsidR="00924728" w14:paraId="6D5485D5" w14:textId="77777777"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13DCB2" w14:textId="77777777" w:rsidR="00924728" w:rsidRDefault="00A82E3D">
            <w:pPr>
              <w:jc w:val="both"/>
            </w:pPr>
            <w:proofErr w:type="spellStart"/>
            <w:r>
              <w:t>gti_vdw_exp</w:t>
            </w:r>
            <w:proofErr w:type="spellEnd"/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0668C2" w14:textId="77777777" w:rsidR="00924728" w:rsidRDefault="00A82E3D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int</w:t>
            </w:r>
          </w:p>
        </w:tc>
        <w:tc>
          <w:tcPr>
            <w:tcW w:w="4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EAEB60" w14:textId="2DBDA9A3" w:rsidR="00924728" w:rsidRDefault="00A82E3D">
            <w:pPr>
              <w:pStyle w:val="TableContents"/>
            </w:pPr>
            <w:r>
              <w:t xml:space="preserve">The exponent of </w:t>
            </w:r>
            <w:proofErr w:type="spellStart"/>
            <w:r>
              <w:t>r</w:t>
            </w:r>
            <w:r>
              <w:rPr>
                <w:vertAlign w:val="subscript"/>
              </w:rPr>
              <w:t>vdw</w:t>
            </w:r>
            <w:proofErr w:type="spellEnd"/>
            <w:r>
              <w:rPr>
                <w:vertAlign w:val="subscript"/>
              </w:rPr>
              <w:t xml:space="preserve">, </w:t>
            </w:r>
            <w:proofErr w:type="spellStart"/>
            <w:r>
              <w:rPr>
                <w:vertAlign w:val="subscript"/>
              </w:rPr>
              <w:t>sc</w:t>
            </w:r>
            <w:proofErr w:type="spellEnd"/>
            <w:r>
              <w:t xml:space="preserve"> (n) in the softcore fun</w:t>
            </w:r>
            <w:r w:rsidR="00284FEB">
              <w:t>c</w:t>
            </w:r>
            <w:r>
              <w:t>tion; the default value is 6.</w:t>
            </w:r>
          </w:p>
        </w:tc>
      </w:tr>
    </w:tbl>
    <w:p w14:paraId="7E9654AE" w14:textId="1D557D2A" w:rsidR="00924728" w:rsidRDefault="00924728">
      <w:pPr>
        <w:jc w:val="both"/>
      </w:pPr>
    </w:p>
    <w:p w14:paraId="73AF6555" w14:textId="77777777" w:rsidR="003133BF" w:rsidRDefault="003133BF">
      <w:pPr>
        <w:jc w:val="both"/>
      </w:pPr>
    </w:p>
    <w:sectPr w:rsidR="003133BF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72ACA"/>
    <w:multiLevelType w:val="multilevel"/>
    <w:tmpl w:val="AA006B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D2558BA"/>
    <w:multiLevelType w:val="multilevel"/>
    <w:tmpl w:val="2892E1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00C1B4E"/>
    <w:multiLevelType w:val="multilevel"/>
    <w:tmpl w:val="5EA696A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7D42242"/>
    <w:multiLevelType w:val="multilevel"/>
    <w:tmpl w:val="AA006B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80C42E4"/>
    <w:multiLevelType w:val="multilevel"/>
    <w:tmpl w:val="45FAEE8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1725BB8"/>
    <w:multiLevelType w:val="hybridMultilevel"/>
    <w:tmpl w:val="464AF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94B5D"/>
    <w:multiLevelType w:val="multilevel"/>
    <w:tmpl w:val="889E7A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C0484D"/>
    <w:multiLevelType w:val="multilevel"/>
    <w:tmpl w:val="DE6678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EBF612B"/>
    <w:multiLevelType w:val="multilevel"/>
    <w:tmpl w:val="1E38D5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10B754C"/>
    <w:multiLevelType w:val="hybridMultilevel"/>
    <w:tmpl w:val="E968F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E6398"/>
    <w:multiLevelType w:val="hybridMultilevel"/>
    <w:tmpl w:val="3DCC2A96"/>
    <w:lvl w:ilvl="0" w:tplc="F15628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4"/>
  </w:num>
  <w:num w:numId="7">
    <w:abstractNumId w:val="0"/>
  </w:num>
  <w:num w:numId="8">
    <w:abstractNumId w:val="4"/>
  </w:num>
  <w:num w:numId="9">
    <w:abstractNumId w:val="3"/>
  </w:num>
  <w:num w:numId="10">
    <w:abstractNumId w:val="8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4728"/>
    <w:rsid w:val="00086BDF"/>
    <w:rsid w:val="0012068B"/>
    <w:rsid w:val="00133837"/>
    <w:rsid w:val="00151ED8"/>
    <w:rsid w:val="001C04E0"/>
    <w:rsid w:val="0020737D"/>
    <w:rsid w:val="0024045E"/>
    <w:rsid w:val="00284FEB"/>
    <w:rsid w:val="003133BF"/>
    <w:rsid w:val="00350D56"/>
    <w:rsid w:val="00373B54"/>
    <w:rsid w:val="003C15E4"/>
    <w:rsid w:val="004C0866"/>
    <w:rsid w:val="00577588"/>
    <w:rsid w:val="0058219B"/>
    <w:rsid w:val="005C6ED0"/>
    <w:rsid w:val="0067717E"/>
    <w:rsid w:val="006A2EA3"/>
    <w:rsid w:val="00717511"/>
    <w:rsid w:val="00782696"/>
    <w:rsid w:val="008F3295"/>
    <w:rsid w:val="00924728"/>
    <w:rsid w:val="00960B32"/>
    <w:rsid w:val="009F67BC"/>
    <w:rsid w:val="00A17079"/>
    <w:rsid w:val="00A51500"/>
    <w:rsid w:val="00A82E3D"/>
    <w:rsid w:val="00A91035"/>
    <w:rsid w:val="00A910B1"/>
    <w:rsid w:val="00B504FC"/>
    <w:rsid w:val="00C13737"/>
    <w:rsid w:val="00C7503E"/>
    <w:rsid w:val="00C76738"/>
    <w:rsid w:val="00CA6038"/>
    <w:rsid w:val="00D03794"/>
    <w:rsid w:val="00D26833"/>
    <w:rsid w:val="00DA239B"/>
    <w:rsid w:val="00DA480D"/>
    <w:rsid w:val="00E9778D"/>
    <w:rsid w:val="00EC0FB3"/>
    <w:rsid w:val="00ED223E"/>
    <w:rsid w:val="00EE4509"/>
    <w:rsid w:val="00F84741"/>
    <w:rsid w:val="00FA14D4"/>
    <w:rsid w:val="00FC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BD19"/>
  <w15:docId w15:val="{F88F71A1-C3BF-4615-A3ED-70860A97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219B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19B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19B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19B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19B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19B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19B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19B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19B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373B54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B504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4F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8219B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58219B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19B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19B"/>
    <w:rPr>
      <w:rFonts w:asciiTheme="majorHAnsi" w:eastAsiaTheme="majorEastAsia" w:hAnsiTheme="majorHAnsi" w:cs="Mangal"/>
      <w:i/>
      <w:iCs/>
      <w:color w:val="2F5496" w:themeColor="accent1" w:themeShade="BF"/>
      <w:sz w:val="24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19B"/>
    <w:rPr>
      <w:rFonts w:asciiTheme="majorHAnsi" w:eastAsiaTheme="majorEastAsia" w:hAnsiTheme="majorHAnsi" w:cs="Mangal"/>
      <w:color w:val="2F5496" w:themeColor="accent1" w:themeShade="BF"/>
      <w:sz w:val="24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19B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19B"/>
    <w:rPr>
      <w:rFonts w:asciiTheme="majorHAnsi" w:eastAsiaTheme="majorEastAsia" w:hAnsiTheme="majorHAnsi" w:cs="Mangal"/>
      <w:i/>
      <w:iCs/>
      <w:color w:val="1F3763" w:themeColor="accent1" w:themeShade="7F"/>
      <w:sz w:val="24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19B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19B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styleId="FollowedHyperlink">
    <w:name w:val="FollowedHyperlink"/>
    <w:basedOn w:val="DefaultParagraphFont"/>
    <w:uiPriority w:val="99"/>
    <w:semiHidden/>
    <w:unhideWhenUsed/>
    <w:rsid w:val="00EE45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mbermd.org/doc12/Amber2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Ganguly</dc:creator>
  <dc:description/>
  <cp:lastModifiedBy>Abir Ganguly</cp:lastModifiedBy>
  <cp:revision>8</cp:revision>
  <dcterms:created xsi:type="dcterms:W3CDTF">2020-12-07T21:42:00Z</dcterms:created>
  <dcterms:modified xsi:type="dcterms:W3CDTF">2020-12-07T22:58:00Z</dcterms:modified>
  <dc:language>en-US</dc:language>
</cp:coreProperties>
</file>