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3EDA" w14:textId="17F3CBFB" w:rsidR="00151ED8" w:rsidRPr="00151ED8" w:rsidRDefault="0024045E" w:rsidP="00151ED8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151ED8">
        <w:rPr>
          <w:b/>
          <w:bCs/>
          <w:sz w:val="28"/>
          <w:szCs w:val="28"/>
        </w:rPr>
        <w:t>Setup</w:t>
      </w:r>
    </w:p>
    <w:p w14:paraId="6867D001" w14:textId="384E38F7" w:rsidR="00151ED8" w:rsidRPr="00151ED8" w:rsidRDefault="00151ED8" w:rsidP="00151ED8">
      <w:pPr>
        <w:jc w:val="both"/>
        <w:rPr>
          <w:b/>
          <w:bCs/>
          <w:sz w:val="28"/>
          <w:szCs w:val="28"/>
        </w:rPr>
      </w:pPr>
    </w:p>
    <w:p w14:paraId="697640EC" w14:textId="78A57CAA" w:rsidR="00B504FC" w:rsidRDefault="00B504FC">
      <w:pPr>
        <w:jc w:val="both"/>
        <w:rPr>
          <w:b/>
          <w:bCs/>
        </w:rPr>
      </w:pPr>
    </w:p>
    <w:p w14:paraId="74004CDE" w14:textId="77777777" w:rsidR="00151ED8" w:rsidRDefault="00B504FC" w:rsidP="00151ED8">
      <w:pPr>
        <w:jc w:val="both"/>
      </w:pPr>
      <w:r>
        <w:t xml:space="preserve">The bash script </w:t>
      </w:r>
      <w:r w:rsidRPr="0012068B">
        <w:rPr>
          <w:i/>
          <w:iCs/>
        </w:rPr>
        <w:t>afe_setup_clean.sh</w:t>
      </w:r>
      <w:r>
        <w:t xml:space="preserve"> helps setting up AMBER20 TI simulations with the latest functionalities that are only available in the </w:t>
      </w:r>
      <w:r w:rsidRPr="0012068B">
        <w:rPr>
          <w:i/>
          <w:iCs/>
        </w:rPr>
        <w:t>AMBER_DD_BOOST</w:t>
      </w:r>
      <w:r>
        <w:t xml:space="preserve"> package and not available in the released version of AMBER20. </w:t>
      </w:r>
    </w:p>
    <w:p w14:paraId="5954DDFA" w14:textId="77777777" w:rsidR="00151ED8" w:rsidRDefault="00151ED8" w:rsidP="00151ED8">
      <w:pPr>
        <w:jc w:val="both"/>
      </w:pPr>
    </w:p>
    <w:p w14:paraId="27DDDF8E" w14:textId="7614250A" w:rsidR="0012068B" w:rsidRPr="00151ED8" w:rsidRDefault="00151ED8" w:rsidP="00151ED8">
      <w:pPr>
        <w:pStyle w:val="ListParagraph"/>
        <w:numPr>
          <w:ilvl w:val="1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151ED8">
        <w:rPr>
          <w:b/>
          <w:bCs/>
        </w:rPr>
        <w:t xml:space="preserve">Download AMBER20 with </w:t>
      </w:r>
      <w:r w:rsidRPr="00151ED8">
        <w:rPr>
          <w:b/>
          <w:bCs/>
          <w:i/>
          <w:iCs/>
        </w:rPr>
        <w:t>AMBER_DD_BOOST</w:t>
      </w:r>
    </w:p>
    <w:p w14:paraId="7DDDE405" w14:textId="77777777" w:rsidR="00151ED8" w:rsidRPr="00151ED8" w:rsidRDefault="00151ED8" w:rsidP="00151ED8">
      <w:pPr>
        <w:jc w:val="both"/>
        <w:rPr>
          <w:b/>
          <w:bCs/>
          <w:sz w:val="28"/>
          <w:szCs w:val="28"/>
        </w:rPr>
      </w:pPr>
    </w:p>
    <w:p w14:paraId="4652C5EE" w14:textId="2A089F8E" w:rsidR="00B504FC" w:rsidRPr="0012068B" w:rsidRDefault="00B504FC">
      <w:pPr>
        <w:jc w:val="both"/>
        <w:rPr>
          <w:i/>
          <w:iCs/>
        </w:rPr>
      </w:pPr>
      <w:r w:rsidRPr="0012068B">
        <w:rPr>
          <w:i/>
          <w:iCs/>
        </w:rPr>
        <w:t xml:space="preserve">git clone </w:t>
      </w:r>
      <w:hyperlink r:id="rId5" w:history="1">
        <w:r w:rsidRPr="0012068B">
          <w:rPr>
            <w:rStyle w:val="Hyperlink"/>
            <w:i/>
            <w:iCs/>
          </w:rPr>
          <w:t>git@gitlab.com:RutgersLBSR/amber-drug-discovery-boost.git</w:t>
        </w:r>
      </w:hyperlink>
    </w:p>
    <w:p w14:paraId="0A66B4BF" w14:textId="77777777" w:rsidR="00151ED8" w:rsidRDefault="00B504FC" w:rsidP="00151ED8">
      <w:pPr>
        <w:jc w:val="both"/>
        <w:rPr>
          <w:i/>
          <w:iCs/>
        </w:rPr>
      </w:pPr>
      <w:r w:rsidRPr="0012068B">
        <w:rPr>
          <w:i/>
          <w:iCs/>
        </w:rPr>
        <w:t xml:space="preserve">git checkout </w:t>
      </w:r>
      <w:proofErr w:type="spellStart"/>
      <w:r w:rsidRPr="0012068B">
        <w:rPr>
          <w:i/>
          <w:iCs/>
        </w:rPr>
        <w:t>lbsr_dev</w:t>
      </w:r>
      <w:proofErr w:type="spellEnd"/>
    </w:p>
    <w:p w14:paraId="674292AB" w14:textId="77777777" w:rsidR="00151ED8" w:rsidRDefault="00151ED8" w:rsidP="00151ED8">
      <w:pPr>
        <w:jc w:val="both"/>
        <w:rPr>
          <w:i/>
          <w:iCs/>
        </w:rPr>
      </w:pPr>
    </w:p>
    <w:p w14:paraId="3A504202" w14:textId="4EC7122C" w:rsidR="00151ED8" w:rsidRPr="00151ED8" w:rsidRDefault="00151ED8" w:rsidP="00151ED8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151ED8">
        <w:rPr>
          <w:b/>
          <w:bCs/>
        </w:rPr>
        <w:t xml:space="preserve">Initial Requirements for using </w:t>
      </w:r>
      <w:r w:rsidRPr="00151ED8">
        <w:rPr>
          <w:b/>
          <w:bCs/>
          <w:i/>
          <w:iCs/>
        </w:rPr>
        <w:t>afe_setup_clean.sh</w:t>
      </w:r>
    </w:p>
    <w:p w14:paraId="77D9D6F9" w14:textId="5AE45BA3" w:rsidR="00B504FC" w:rsidRDefault="00B504FC">
      <w:pPr>
        <w:jc w:val="both"/>
      </w:pPr>
    </w:p>
    <w:p w14:paraId="641A2B74" w14:textId="04622B42" w:rsidR="00B504FC" w:rsidRDefault="00B504FC" w:rsidP="00B504FC">
      <w:pPr>
        <w:pStyle w:val="ListParagraph"/>
        <w:numPr>
          <w:ilvl w:val="0"/>
          <w:numId w:val="5"/>
        </w:numPr>
        <w:jc w:val="both"/>
      </w:pPr>
      <w:r w:rsidRPr="00151ED8">
        <w:rPr>
          <w:i/>
          <w:iCs/>
        </w:rPr>
        <w:t>AMBERHOME</w:t>
      </w:r>
      <w:r w:rsidR="0020737D" w:rsidRPr="00151ED8">
        <w:rPr>
          <w:i/>
          <w:iCs/>
        </w:rPr>
        <w:t xml:space="preserve"> </w:t>
      </w:r>
      <w:r w:rsidR="0020737D">
        <w:t>needs to be set</w:t>
      </w:r>
    </w:p>
    <w:p w14:paraId="7FAC8B47" w14:textId="585C1A58" w:rsidR="00B504FC" w:rsidRDefault="00B504FC" w:rsidP="00B504FC">
      <w:pPr>
        <w:pStyle w:val="ListParagraph"/>
        <w:numPr>
          <w:ilvl w:val="0"/>
          <w:numId w:val="5"/>
        </w:numPr>
        <w:jc w:val="both"/>
      </w:pPr>
      <w:proofErr w:type="spellStart"/>
      <w:r w:rsidRPr="00151ED8">
        <w:rPr>
          <w:i/>
          <w:iCs/>
        </w:rPr>
        <w:t>cpptraj</w:t>
      </w:r>
      <w:proofErr w:type="spellEnd"/>
      <w:r>
        <w:t xml:space="preserve"> (</w:t>
      </w:r>
      <w:proofErr w:type="spellStart"/>
      <w:r w:rsidR="005C6ED0">
        <w:t>AmberTools</w:t>
      </w:r>
      <w:proofErr w:type="spellEnd"/>
      <w:r w:rsidR="005C6ED0">
        <w:t>)</w:t>
      </w:r>
      <w:r w:rsidR="0020737D">
        <w:t xml:space="preserve"> needs to be installed and available in $PATH</w:t>
      </w:r>
    </w:p>
    <w:p w14:paraId="34ECD511" w14:textId="1AB200B6" w:rsidR="005C6ED0" w:rsidRDefault="005C6ED0" w:rsidP="00B504FC">
      <w:pPr>
        <w:pStyle w:val="ListParagraph"/>
        <w:numPr>
          <w:ilvl w:val="0"/>
          <w:numId w:val="5"/>
        </w:numPr>
        <w:jc w:val="both"/>
      </w:pPr>
      <w:proofErr w:type="spellStart"/>
      <w:r w:rsidRPr="00151ED8">
        <w:rPr>
          <w:i/>
          <w:iCs/>
        </w:rPr>
        <w:t>parmed</w:t>
      </w:r>
      <w:proofErr w:type="spellEnd"/>
      <w:r>
        <w:t xml:space="preserve"> (</w:t>
      </w:r>
      <w:proofErr w:type="spellStart"/>
      <w:r>
        <w:t>AmberTools</w:t>
      </w:r>
      <w:proofErr w:type="spellEnd"/>
      <w:r>
        <w:t>)</w:t>
      </w:r>
      <w:r w:rsidR="0020737D">
        <w:t xml:space="preserve"> </w:t>
      </w:r>
      <w:r w:rsidR="0020737D">
        <w:t>needs to be installed and available in $PATH</w:t>
      </w:r>
    </w:p>
    <w:p w14:paraId="58D48B0E" w14:textId="7F1A0B67" w:rsidR="0012068B" w:rsidRDefault="0020737D" w:rsidP="00B504FC">
      <w:pPr>
        <w:pStyle w:val="ListParagraph"/>
        <w:numPr>
          <w:ilvl w:val="0"/>
          <w:numId w:val="5"/>
        </w:numPr>
        <w:jc w:val="both"/>
      </w:pPr>
      <w:proofErr w:type="spellStart"/>
      <w:r w:rsidRPr="00151ED8">
        <w:rPr>
          <w:i/>
          <w:iCs/>
        </w:rPr>
        <w:t>RDKit</w:t>
      </w:r>
      <w:proofErr w:type="spellEnd"/>
      <w:r>
        <w:t xml:space="preserve"> needs to be installed and available in $PATH</w:t>
      </w:r>
    </w:p>
    <w:p w14:paraId="54411475" w14:textId="77777777" w:rsidR="0020737D" w:rsidRDefault="0020737D" w:rsidP="0020737D">
      <w:pPr>
        <w:pStyle w:val="ListParagraph"/>
        <w:numPr>
          <w:ilvl w:val="1"/>
          <w:numId w:val="5"/>
        </w:numPr>
        <w:jc w:val="both"/>
      </w:pPr>
      <w:proofErr w:type="spellStart"/>
      <w:r>
        <w:t>RDKit</w:t>
      </w:r>
      <w:proofErr w:type="spellEnd"/>
      <w:r>
        <w:t xml:space="preserve"> can be installed with a package manager</w:t>
      </w:r>
    </w:p>
    <w:p w14:paraId="4F5AF6F5" w14:textId="77777777" w:rsidR="0020737D" w:rsidRPr="0020737D" w:rsidRDefault="0020737D" w:rsidP="0020737D">
      <w:pPr>
        <w:pStyle w:val="ListParagraph"/>
        <w:numPr>
          <w:ilvl w:val="2"/>
          <w:numId w:val="5"/>
        </w:numPr>
        <w:jc w:val="both"/>
      </w:pPr>
      <w:r>
        <w:t xml:space="preserve">Fedora - </w:t>
      </w:r>
      <w:proofErr w:type="spellStart"/>
      <w:r w:rsidRPr="0020737D">
        <w:rPr>
          <w:i/>
          <w:iCs/>
        </w:rPr>
        <w:t>sudo</w:t>
      </w:r>
      <w:proofErr w:type="spellEnd"/>
      <w:r w:rsidRPr="0020737D">
        <w:rPr>
          <w:i/>
          <w:iCs/>
        </w:rPr>
        <w:t xml:space="preserve"> </w:t>
      </w:r>
      <w:proofErr w:type="spellStart"/>
      <w:r w:rsidRPr="0020737D">
        <w:rPr>
          <w:i/>
          <w:iCs/>
        </w:rPr>
        <w:t>dnf</w:t>
      </w:r>
      <w:proofErr w:type="spellEnd"/>
      <w:r w:rsidRPr="0020737D">
        <w:rPr>
          <w:i/>
          <w:iCs/>
        </w:rPr>
        <w:t xml:space="preserve"> install rdkit.x86_64 python3-rdkit.x86_64</w:t>
      </w:r>
    </w:p>
    <w:p w14:paraId="48F8E018" w14:textId="778BA81F" w:rsidR="0020737D" w:rsidRPr="0020737D" w:rsidRDefault="0020737D" w:rsidP="0020737D">
      <w:pPr>
        <w:pStyle w:val="ListParagraph"/>
        <w:numPr>
          <w:ilvl w:val="2"/>
          <w:numId w:val="5"/>
        </w:numPr>
        <w:jc w:val="both"/>
      </w:pPr>
      <w:r>
        <w:t xml:space="preserve">Ubuntu - </w:t>
      </w:r>
      <w:proofErr w:type="spellStart"/>
      <w:r w:rsidRPr="0020737D">
        <w:rPr>
          <w:i/>
          <w:iCs/>
        </w:rPr>
        <w:t>sudo</w:t>
      </w:r>
      <w:proofErr w:type="spellEnd"/>
      <w:r w:rsidRPr="0020737D">
        <w:rPr>
          <w:i/>
          <w:iCs/>
        </w:rPr>
        <w:t xml:space="preserve"> apt install python-</w:t>
      </w:r>
      <w:proofErr w:type="spellStart"/>
      <w:r w:rsidRPr="0020737D">
        <w:rPr>
          <w:i/>
          <w:iCs/>
        </w:rPr>
        <w:t>rdkit</w:t>
      </w:r>
      <w:proofErr w:type="spellEnd"/>
    </w:p>
    <w:p w14:paraId="19DD36A9" w14:textId="6DE0AE0A" w:rsidR="0020737D" w:rsidRDefault="00151ED8" w:rsidP="0020737D">
      <w:pPr>
        <w:pStyle w:val="ListParagraph"/>
        <w:numPr>
          <w:ilvl w:val="1"/>
          <w:numId w:val="5"/>
        </w:numPr>
        <w:jc w:val="both"/>
      </w:pPr>
      <w:proofErr w:type="gramStart"/>
      <w:r>
        <w:t>o</w:t>
      </w:r>
      <w:r w:rsidR="0020737D">
        <w:t>r,</w:t>
      </w:r>
      <w:proofErr w:type="gramEnd"/>
      <w:r w:rsidR="0020737D">
        <w:t xml:space="preserve"> </w:t>
      </w:r>
      <w:proofErr w:type="spellStart"/>
      <w:r w:rsidR="0020737D">
        <w:t>RDKit</w:t>
      </w:r>
      <w:proofErr w:type="spellEnd"/>
      <w:r w:rsidR="0020737D">
        <w:t xml:space="preserve"> can be installed using </w:t>
      </w:r>
      <w:proofErr w:type="spellStart"/>
      <w:r w:rsidR="0020737D" w:rsidRPr="00151ED8">
        <w:rPr>
          <w:i/>
          <w:iCs/>
        </w:rPr>
        <w:t>conda</w:t>
      </w:r>
      <w:proofErr w:type="spellEnd"/>
    </w:p>
    <w:p w14:paraId="0E631372" w14:textId="7467B2A9" w:rsidR="0020737D" w:rsidRDefault="0020737D" w:rsidP="0020737D">
      <w:pPr>
        <w:pStyle w:val="ListParagraph"/>
        <w:numPr>
          <w:ilvl w:val="2"/>
          <w:numId w:val="5"/>
        </w:numPr>
        <w:jc w:val="both"/>
      </w:pPr>
      <w:r>
        <w:t xml:space="preserve">See  </w:t>
      </w:r>
      <w:hyperlink r:id="rId6" w:history="1">
        <w:r w:rsidRPr="00B64285">
          <w:rPr>
            <w:rStyle w:val="Hyperlink"/>
          </w:rPr>
          <w:t>http://www.rdkit.org/docs/Install.html#installation</w:t>
        </w:r>
      </w:hyperlink>
      <w:r>
        <w:t xml:space="preserve"> for details.</w:t>
      </w:r>
    </w:p>
    <w:p w14:paraId="4EB6B1B8" w14:textId="1678890F" w:rsidR="005C6ED0" w:rsidRPr="00B504FC" w:rsidRDefault="0012068B" w:rsidP="0012068B">
      <w:pPr>
        <w:pStyle w:val="ListParagraph"/>
        <w:numPr>
          <w:ilvl w:val="0"/>
          <w:numId w:val="5"/>
        </w:numPr>
        <w:jc w:val="both"/>
      </w:pPr>
      <w:r>
        <w:t xml:space="preserve">a folder called </w:t>
      </w:r>
      <w:r w:rsidRPr="0020737D">
        <w:rPr>
          <w:i/>
          <w:iCs/>
        </w:rPr>
        <w:t>initial</w:t>
      </w:r>
      <w:r>
        <w:t xml:space="preserve"> that contains initial configuration</w:t>
      </w:r>
      <w:r w:rsidR="0020737D">
        <w:t xml:space="preserve"> files.</w:t>
      </w:r>
      <w:r>
        <w:t xml:space="preserve"> </w:t>
      </w:r>
      <w:r w:rsidR="005C6ED0">
        <w:t xml:space="preserve"> </w:t>
      </w:r>
    </w:p>
    <w:p w14:paraId="56AF9C36" w14:textId="77777777" w:rsidR="0012068B" w:rsidRDefault="0012068B" w:rsidP="00577588">
      <w:pPr>
        <w:ind w:firstLine="709"/>
        <w:rPr>
          <w:b/>
          <w:bCs/>
        </w:rPr>
      </w:pPr>
    </w:p>
    <w:p w14:paraId="2F0679EC" w14:textId="62B36C6C" w:rsidR="00577588" w:rsidRDefault="00717511" w:rsidP="00577588">
      <w:pPr>
        <w:ind w:firstLine="709"/>
      </w:pPr>
      <w:r>
        <w:t xml:space="preserve">The </w:t>
      </w:r>
      <w:r w:rsidRPr="0012068B">
        <w:rPr>
          <w:i/>
          <w:iCs/>
        </w:rPr>
        <w:t>initial</w:t>
      </w:r>
      <w:r>
        <w:t xml:space="preserve"> folder should contain </w:t>
      </w:r>
      <w:r w:rsidR="003C15E4">
        <w:t xml:space="preserve">a separate folder for every </w:t>
      </w:r>
      <w:r w:rsidR="003C15E4" w:rsidRPr="003C15E4">
        <w:rPr>
          <w:i/>
          <w:iCs/>
        </w:rPr>
        <w:t>system</w:t>
      </w:r>
      <w:r w:rsidR="003C15E4">
        <w:t xml:space="preserve">, which in turn should contain </w:t>
      </w:r>
      <w:r>
        <w:t xml:space="preserve">two subfolders : For relative binding free energy (RBFE) calculations, the subfolders should be named </w:t>
      </w:r>
      <w:r w:rsidRPr="00577588">
        <w:rPr>
          <w:i/>
          <w:iCs/>
        </w:rPr>
        <w:t>com</w:t>
      </w:r>
      <w:r>
        <w:t xml:space="preserve"> and </w:t>
      </w:r>
      <w:proofErr w:type="spellStart"/>
      <w:r w:rsidRPr="00577588">
        <w:rPr>
          <w:i/>
          <w:iCs/>
        </w:rPr>
        <w:t>aq</w:t>
      </w:r>
      <w:proofErr w:type="spellEnd"/>
      <w:r>
        <w:t xml:space="preserve">, while for relative solvation free energy (RSFE) calculations, the subfolders should be named </w:t>
      </w:r>
      <w:proofErr w:type="spellStart"/>
      <w:r w:rsidRPr="00577588">
        <w:rPr>
          <w:i/>
          <w:iCs/>
        </w:rPr>
        <w:t>aq</w:t>
      </w:r>
      <w:proofErr w:type="spellEnd"/>
      <w:r>
        <w:t xml:space="preserve"> and </w:t>
      </w:r>
      <w:r w:rsidRPr="00577588">
        <w:rPr>
          <w:i/>
          <w:iCs/>
        </w:rPr>
        <w:t>vac</w:t>
      </w:r>
      <w:r>
        <w:t xml:space="preserve">. </w:t>
      </w:r>
      <w:r w:rsidR="00960B32">
        <w:t xml:space="preserve">The folders </w:t>
      </w:r>
      <w:r w:rsidRPr="00577588">
        <w:rPr>
          <w:i/>
          <w:iCs/>
        </w:rPr>
        <w:t>com</w:t>
      </w:r>
      <w:r w:rsidR="00960B32">
        <w:t xml:space="preserve">, </w:t>
      </w:r>
      <w:proofErr w:type="spellStart"/>
      <w:r w:rsidR="00960B32" w:rsidRPr="00577588">
        <w:rPr>
          <w:i/>
          <w:iCs/>
        </w:rPr>
        <w:t>aq</w:t>
      </w:r>
      <w:proofErr w:type="spellEnd"/>
      <w:r w:rsidR="00960B32">
        <w:t xml:space="preserve">, and </w:t>
      </w:r>
      <w:r w:rsidR="00960B32" w:rsidRPr="00577588">
        <w:rPr>
          <w:i/>
          <w:iCs/>
        </w:rPr>
        <w:t>vac</w:t>
      </w:r>
      <w:r w:rsidR="00960B32">
        <w:t xml:space="preserve">, </w:t>
      </w:r>
      <w:r>
        <w:t>stands</w:t>
      </w:r>
      <w:r w:rsidR="00960B32">
        <w:t xml:space="preserve"> </w:t>
      </w:r>
      <w:r>
        <w:t>for protein-ligand complex</w:t>
      </w:r>
      <w:r w:rsidR="00960B32">
        <w:t xml:space="preserve"> in solution, ligand in solution, and ligand in vacuum, respectively, and should contain equilibrated parameter (</w:t>
      </w:r>
      <w:proofErr w:type="spellStart"/>
      <w:r w:rsidR="00960B32" w:rsidRPr="00577588">
        <w:rPr>
          <w:i/>
          <w:iCs/>
        </w:rPr>
        <w:t>parm</w:t>
      </w:r>
      <w:proofErr w:type="spellEnd"/>
      <w:r w:rsidR="00960B32">
        <w:t>) and coordinate (</w:t>
      </w:r>
      <w:proofErr w:type="spellStart"/>
      <w:r w:rsidR="00960B32" w:rsidRPr="00577588">
        <w:rPr>
          <w:i/>
          <w:iCs/>
        </w:rPr>
        <w:t>rst</w:t>
      </w:r>
      <w:proofErr w:type="spellEnd"/>
      <w:r w:rsidR="00960B32">
        <w:t xml:space="preserve">) files of the various ligands in the respective states. The files should be named as </w:t>
      </w:r>
      <w:proofErr w:type="gramStart"/>
      <w:r w:rsidR="00960B32">
        <w:t>follows :</w:t>
      </w:r>
      <w:proofErr w:type="gramEnd"/>
      <w:r w:rsidR="00960B32">
        <w:t xml:space="preserve"> </w:t>
      </w:r>
      <w:r w:rsidR="00960B32">
        <w:br/>
      </w:r>
      <w:r w:rsidR="003C15E4">
        <w:t>initial/</w:t>
      </w:r>
      <w:r w:rsidR="003C15E4" w:rsidRPr="003C15E4">
        <w:rPr>
          <w:i/>
          <w:iCs/>
        </w:rPr>
        <w:t>system</w:t>
      </w:r>
      <w:r w:rsidR="003C15E4">
        <w:t>/</w:t>
      </w:r>
      <w:proofErr w:type="spellStart"/>
      <w:r w:rsidR="00577588">
        <w:t>aq</w:t>
      </w:r>
      <w:proofErr w:type="spellEnd"/>
      <w:r w:rsidR="00577588">
        <w:t>/</w:t>
      </w:r>
    </w:p>
    <w:p w14:paraId="26802CF3" w14:textId="77777777" w:rsidR="00577588" w:rsidRPr="00577588" w:rsidRDefault="00577588" w:rsidP="00577588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 xml:space="preserve">1”_aq.parm7 , ”ligand1”_aq.rst7, </w:t>
      </w:r>
    </w:p>
    <w:p w14:paraId="1E49346E" w14:textId="77777777" w:rsidR="00577588" w:rsidRPr="00577588" w:rsidRDefault="00577588" w:rsidP="00577588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>2”_aq.parm7, ”ligand2”_aq.rst7,</w:t>
      </w:r>
    </w:p>
    <w:p w14:paraId="796D24BE" w14:textId="77777777" w:rsidR="00577588" w:rsidRPr="00577588" w:rsidRDefault="00577588" w:rsidP="00577588">
      <w:pPr>
        <w:ind w:firstLine="709"/>
        <w:rPr>
          <w:i/>
          <w:iCs/>
        </w:rPr>
      </w:pPr>
      <w:r w:rsidRPr="00577588">
        <w:rPr>
          <w:i/>
          <w:iCs/>
        </w:rPr>
        <w:t>“ligand</w:t>
      </w:r>
      <w:proofErr w:type="gramStart"/>
      <w:r w:rsidRPr="00577588">
        <w:rPr>
          <w:i/>
          <w:iCs/>
        </w:rPr>
        <w:t>3”_</w:t>
      </w:r>
      <w:proofErr w:type="gramEnd"/>
      <w:r w:rsidRPr="00577588">
        <w:rPr>
          <w:i/>
          <w:iCs/>
        </w:rPr>
        <w:t>aq.parm7, “ligand3”_aq.rst7,…</w:t>
      </w:r>
    </w:p>
    <w:p w14:paraId="473A9F85" w14:textId="1CEE66C1" w:rsidR="00577588" w:rsidRDefault="00577588" w:rsidP="00960B32">
      <w:r>
        <w:t xml:space="preserve">For </w:t>
      </w:r>
      <w:proofErr w:type="spellStart"/>
      <w:r>
        <w:t>rbfe</w:t>
      </w:r>
      <w:proofErr w:type="spellEnd"/>
      <w:r>
        <w:t xml:space="preserve"> - </w:t>
      </w:r>
    </w:p>
    <w:p w14:paraId="0062954C" w14:textId="080D8467" w:rsidR="00E9778D" w:rsidRDefault="003C15E4" w:rsidP="00960B32">
      <w:r>
        <w:t>initial/</w:t>
      </w:r>
      <w:r w:rsidRPr="003C15E4">
        <w:rPr>
          <w:i/>
          <w:iCs/>
        </w:rPr>
        <w:t>system</w:t>
      </w:r>
      <w:r>
        <w:t>/</w:t>
      </w:r>
      <w:r w:rsidR="00960B32">
        <w:t>com/</w:t>
      </w:r>
    </w:p>
    <w:p w14:paraId="470F039E" w14:textId="1CB46D24" w:rsidR="00E9778D" w:rsidRPr="00577588" w:rsidRDefault="00960B32" w:rsidP="00E9778D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>1”_com.parm7, ”ligand1”_com.rst7,</w:t>
      </w:r>
    </w:p>
    <w:p w14:paraId="6E955B65" w14:textId="77777777" w:rsidR="00E9778D" w:rsidRPr="00577588" w:rsidRDefault="00960B32" w:rsidP="00E9778D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>2”_com.parm7,</w:t>
      </w:r>
      <w:r w:rsidR="00E9778D" w:rsidRPr="00577588">
        <w:rPr>
          <w:i/>
          <w:iCs/>
        </w:rPr>
        <w:t xml:space="preserve"> </w:t>
      </w:r>
      <w:r w:rsidRPr="00577588">
        <w:rPr>
          <w:i/>
          <w:iCs/>
        </w:rPr>
        <w:t>”ligand</w:t>
      </w:r>
      <w:r w:rsidR="00E9778D" w:rsidRPr="00577588">
        <w:rPr>
          <w:i/>
          <w:iCs/>
        </w:rPr>
        <w:t>2</w:t>
      </w:r>
      <w:r w:rsidRPr="00577588">
        <w:rPr>
          <w:i/>
          <w:iCs/>
        </w:rPr>
        <w:t>”_com.</w:t>
      </w:r>
      <w:r w:rsidR="00E9778D" w:rsidRPr="00577588">
        <w:rPr>
          <w:i/>
          <w:iCs/>
        </w:rPr>
        <w:t>rst7</w:t>
      </w:r>
      <w:r w:rsidRPr="00577588">
        <w:rPr>
          <w:i/>
          <w:iCs/>
        </w:rPr>
        <w:t xml:space="preserve">, </w:t>
      </w:r>
    </w:p>
    <w:p w14:paraId="077D2DC2" w14:textId="023E411B" w:rsidR="00E9778D" w:rsidRDefault="00960B32" w:rsidP="00577588">
      <w:pPr>
        <w:ind w:firstLine="709"/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>3”_com.par</w:t>
      </w:r>
      <w:r w:rsidR="00E9778D" w:rsidRPr="00577588">
        <w:rPr>
          <w:i/>
          <w:iCs/>
        </w:rPr>
        <w:t>m7,”ligand3”_com.rst7, …</w:t>
      </w:r>
      <w:r>
        <w:br/>
      </w:r>
      <w:r w:rsidR="00577588">
        <w:t xml:space="preserve">For </w:t>
      </w:r>
      <w:proofErr w:type="spellStart"/>
      <w:r w:rsidR="00577588">
        <w:t>rsfe</w:t>
      </w:r>
      <w:proofErr w:type="spellEnd"/>
      <w:r w:rsidR="00577588">
        <w:t xml:space="preserve"> - </w:t>
      </w:r>
    </w:p>
    <w:p w14:paraId="2CE41497" w14:textId="2F6579F1" w:rsidR="00E9778D" w:rsidRDefault="003C15E4" w:rsidP="00960B32">
      <w:r>
        <w:t>Initial/</w:t>
      </w:r>
      <w:r w:rsidRPr="003C15E4">
        <w:rPr>
          <w:i/>
          <w:iCs/>
        </w:rPr>
        <w:t>system</w:t>
      </w:r>
      <w:r>
        <w:t>/</w:t>
      </w:r>
      <w:r w:rsidR="00960B32">
        <w:t>vac/</w:t>
      </w:r>
    </w:p>
    <w:p w14:paraId="1F2AE184" w14:textId="04997E5C" w:rsidR="00E9778D" w:rsidRPr="00577588" w:rsidRDefault="00960B32" w:rsidP="00E9778D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>1”_vac.parm7, ”ligand</w:t>
      </w:r>
      <w:r w:rsidR="00E9778D" w:rsidRPr="00577588">
        <w:rPr>
          <w:i/>
          <w:iCs/>
        </w:rPr>
        <w:t>1</w:t>
      </w:r>
      <w:r w:rsidRPr="00577588">
        <w:rPr>
          <w:i/>
          <w:iCs/>
        </w:rPr>
        <w:t>”_vac.</w:t>
      </w:r>
      <w:r w:rsidR="00E9778D" w:rsidRPr="00577588">
        <w:rPr>
          <w:i/>
          <w:iCs/>
        </w:rPr>
        <w:t>rst7</w:t>
      </w:r>
      <w:r w:rsidRPr="00577588">
        <w:rPr>
          <w:i/>
          <w:iCs/>
        </w:rPr>
        <w:t xml:space="preserve">, </w:t>
      </w:r>
    </w:p>
    <w:p w14:paraId="55EDB444" w14:textId="5CFA0E2B" w:rsidR="00E9778D" w:rsidRPr="00577588" w:rsidRDefault="00960B32" w:rsidP="00E9778D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="00E9778D" w:rsidRPr="00577588">
        <w:rPr>
          <w:i/>
          <w:iCs/>
        </w:rPr>
        <w:t>2</w:t>
      </w:r>
      <w:r w:rsidRPr="00577588">
        <w:rPr>
          <w:i/>
          <w:iCs/>
        </w:rPr>
        <w:t>”_vac.parm7</w:t>
      </w:r>
      <w:r w:rsidR="00E9778D" w:rsidRPr="00577588">
        <w:rPr>
          <w:i/>
          <w:iCs/>
        </w:rPr>
        <w:t>,</w:t>
      </w:r>
      <w:r w:rsidRPr="00577588">
        <w:rPr>
          <w:i/>
          <w:iCs/>
        </w:rPr>
        <w:t xml:space="preserve"> </w:t>
      </w:r>
      <w:r w:rsidR="00E9778D" w:rsidRPr="00577588">
        <w:rPr>
          <w:i/>
          <w:iCs/>
        </w:rPr>
        <w:t>”ligand2”_vac.rst7,</w:t>
      </w:r>
    </w:p>
    <w:p w14:paraId="683EB2AB" w14:textId="19475FBE" w:rsidR="00E9778D" w:rsidRDefault="00E9778D" w:rsidP="00E9778D">
      <w:pPr>
        <w:ind w:firstLine="709"/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>3”_vac.parm7, ”ligand3”_vac.rst7,…</w:t>
      </w:r>
      <w:r w:rsidR="00717511">
        <w:br/>
      </w:r>
    </w:p>
    <w:p w14:paraId="2BBBDE0C" w14:textId="2112B775" w:rsidR="00A910B1" w:rsidRPr="00A910B1" w:rsidRDefault="00717511" w:rsidP="00960B32">
      <w:r w:rsidRPr="00A910B1">
        <w:t xml:space="preserve">In the initial configuration files, the respective ligands should </w:t>
      </w:r>
    </w:p>
    <w:p w14:paraId="1415BD7A" w14:textId="45C70299" w:rsidR="00A910B1" w:rsidRPr="00A910B1" w:rsidRDefault="00A910B1" w:rsidP="00A910B1">
      <w:pPr>
        <w:pStyle w:val="ListParagraph"/>
        <w:numPr>
          <w:ilvl w:val="0"/>
          <w:numId w:val="4"/>
        </w:numPr>
      </w:pPr>
      <w:r w:rsidRPr="00A910B1">
        <w:lastRenderedPageBreak/>
        <w:t>either have res</w:t>
      </w:r>
      <w:r>
        <w:t xml:space="preserve">idue </w:t>
      </w:r>
      <w:r w:rsidRPr="00A910B1">
        <w:t xml:space="preserve">names </w:t>
      </w:r>
      <w:r>
        <w:t>(</w:t>
      </w:r>
      <w:proofErr w:type="spellStart"/>
      <w:r>
        <w:t>resnames</w:t>
      </w:r>
      <w:proofErr w:type="spellEnd"/>
      <w:r>
        <w:t xml:space="preserve">) </w:t>
      </w:r>
      <w:r w:rsidRPr="00A910B1">
        <w:t xml:space="preserve">identical to that used in the filename, </w:t>
      </w:r>
      <w:proofErr w:type="gramStart"/>
      <w:r w:rsidRPr="00A910B1">
        <w:t xml:space="preserve">or  </w:t>
      </w:r>
      <w:r w:rsidR="003C15E4">
        <w:t>“</w:t>
      </w:r>
      <w:proofErr w:type="gramEnd"/>
      <w:r w:rsidRPr="00A910B1">
        <w:rPr>
          <w:i/>
          <w:iCs/>
        </w:rPr>
        <w:t>L1</w:t>
      </w:r>
      <w:r w:rsidR="003C15E4">
        <w:rPr>
          <w:i/>
          <w:iCs/>
        </w:rPr>
        <w:t>”</w:t>
      </w:r>
      <w:r>
        <w:t xml:space="preserve">, and </w:t>
      </w:r>
    </w:p>
    <w:p w14:paraId="1523C0CB" w14:textId="6AC2568C" w:rsidR="00577588" w:rsidRPr="00A910B1" w:rsidRDefault="00133837" w:rsidP="00A910B1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593F7500" wp14:editId="1C5BF746">
            <wp:simplePos x="0" y="0"/>
            <wp:positionH relativeFrom="column">
              <wp:posOffset>946785</wp:posOffset>
            </wp:positionH>
            <wp:positionV relativeFrom="paragraph">
              <wp:posOffset>295275</wp:posOffset>
            </wp:positionV>
            <wp:extent cx="4429125" cy="3237865"/>
            <wp:effectExtent l="0" t="0" r="0" b="0"/>
            <wp:wrapTopAndBottom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3" t="-196" r="-143" b="-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B54" w:rsidRPr="00A910B1">
        <w:t xml:space="preserve">have </w:t>
      </w:r>
      <w:r w:rsidR="00A910B1">
        <w:t xml:space="preserve">identical </w:t>
      </w:r>
      <w:proofErr w:type="spellStart"/>
      <w:r w:rsidR="00373B54" w:rsidRPr="00A910B1">
        <w:t>resnames</w:t>
      </w:r>
      <w:proofErr w:type="spellEnd"/>
      <w:r w:rsidR="00373B54" w:rsidRPr="00A910B1">
        <w:t xml:space="preserve"> </w:t>
      </w:r>
      <w:r w:rsidR="00A910B1">
        <w:t xml:space="preserve">in </w:t>
      </w:r>
      <w:proofErr w:type="spellStart"/>
      <w:r w:rsidR="00577588" w:rsidRPr="00A910B1">
        <w:rPr>
          <w:i/>
          <w:iCs/>
        </w:rPr>
        <w:t>aq</w:t>
      </w:r>
      <w:proofErr w:type="spellEnd"/>
      <w:r w:rsidR="00577588" w:rsidRPr="00A910B1">
        <w:t xml:space="preserve"> and </w:t>
      </w:r>
      <w:r w:rsidR="00373B54" w:rsidRPr="00A910B1">
        <w:rPr>
          <w:i/>
          <w:iCs/>
        </w:rPr>
        <w:t>com</w:t>
      </w:r>
      <w:r w:rsidR="00577588" w:rsidRPr="00A910B1">
        <w:t>/</w:t>
      </w:r>
      <w:r w:rsidR="00577588" w:rsidRPr="00A910B1">
        <w:rPr>
          <w:i/>
          <w:iCs/>
        </w:rPr>
        <w:t>vac</w:t>
      </w:r>
      <w:r w:rsidR="00577588" w:rsidRPr="00A910B1">
        <w:t xml:space="preserve"> folders</w:t>
      </w:r>
    </w:p>
    <w:p w14:paraId="00954955" w14:textId="64D8C31F" w:rsidR="00924728" w:rsidRDefault="00924728" w:rsidP="00960B32"/>
    <w:p w14:paraId="7A2AE6F7" w14:textId="31CEB9C3" w:rsidR="00924728" w:rsidRDefault="00A82E3D" w:rsidP="00EC0FB3">
      <w:pPr>
        <w:jc w:val="both"/>
      </w:pPr>
      <w:r>
        <w:t xml:space="preserve">Fig 1. The structure of the </w:t>
      </w:r>
      <w:r w:rsidRPr="003C15E4">
        <w:rPr>
          <w:i/>
          <w:iCs/>
        </w:rPr>
        <w:t>initial</w:t>
      </w:r>
      <w:r>
        <w:t xml:space="preserve"> folder. </w:t>
      </w:r>
      <w:r w:rsidR="003C15E4">
        <w:t xml:space="preserve">For every system, there should be a separate </w:t>
      </w:r>
      <w:r w:rsidR="003C15E4" w:rsidRPr="003C15E4">
        <w:rPr>
          <w:i/>
          <w:iCs/>
        </w:rPr>
        <w:t>system</w:t>
      </w:r>
      <w:r w:rsidR="003C15E4">
        <w:t xml:space="preserve"> folder, which in turn should contain two subfolders: </w:t>
      </w:r>
      <w:r w:rsidRPr="003C15E4">
        <w:rPr>
          <w:i/>
          <w:iCs/>
        </w:rPr>
        <w:t>com</w:t>
      </w:r>
      <w:r w:rsidR="003C15E4">
        <w:rPr>
          <w:i/>
          <w:iCs/>
        </w:rPr>
        <w:t xml:space="preserve"> </w:t>
      </w:r>
      <w:r w:rsidR="003C15E4" w:rsidRPr="003C15E4">
        <w:t>and</w:t>
      </w:r>
      <w:r w:rsidR="003C15E4">
        <w:rPr>
          <w:i/>
          <w:iCs/>
        </w:rPr>
        <w:t xml:space="preserve"> </w:t>
      </w:r>
      <w:proofErr w:type="spellStart"/>
      <w:r w:rsidR="003C15E4">
        <w:rPr>
          <w:i/>
          <w:iCs/>
        </w:rPr>
        <w:t>aq</w:t>
      </w:r>
      <w:proofErr w:type="spellEnd"/>
      <w:r w:rsidR="003C15E4">
        <w:t xml:space="preserve">, </w:t>
      </w:r>
      <w:r>
        <w:t>for relative binding free energy (</w:t>
      </w:r>
      <w:proofErr w:type="spellStart"/>
      <w:r>
        <w:t>rbfe</w:t>
      </w:r>
      <w:proofErr w:type="spellEnd"/>
      <w:r w:rsidR="003C15E4">
        <w:t xml:space="preserve">) </w:t>
      </w:r>
      <w:r>
        <w:t xml:space="preserve">calculations and </w:t>
      </w:r>
      <w:proofErr w:type="spellStart"/>
      <w:r w:rsidR="003C15E4" w:rsidRPr="0067717E">
        <w:rPr>
          <w:i/>
          <w:iCs/>
        </w:rPr>
        <w:t>aq</w:t>
      </w:r>
      <w:proofErr w:type="spellEnd"/>
      <w:r w:rsidR="003C15E4">
        <w:t xml:space="preserve"> and </w:t>
      </w:r>
      <w:r w:rsidRPr="0067717E">
        <w:rPr>
          <w:i/>
          <w:iCs/>
        </w:rPr>
        <w:t>vac</w:t>
      </w:r>
      <w:r>
        <w:t xml:space="preserve"> for relative hydration free energy (</w:t>
      </w:r>
      <w:proofErr w:type="spellStart"/>
      <w:r>
        <w:t>rsfe</w:t>
      </w:r>
      <w:proofErr w:type="spellEnd"/>
      <w:r>
        <w:t>) calculations.</w:t>
      </w:r>
    </w:p>
    <w:p w14:paraId="5AEB8E90" w14:textId="77777777" w:rsidR="00924728" w:rsidRDefault="00924728">
      <w:pPr>
        <w:jc w:val="both"/>
      </w:pPr>
    </w:p>
    <w:p w14:paraId="190C31FC" w14:textId="4610F887" w:rsidR="00E9778D" w:rsidRDefault="00E9778D">
      <w:pPr>
        <w:jc w:val="both"/>
        <w:rPr>
          <w:b/>
          <w:bCs/>
        </w:rPr>
      </w:pPr>
    </w:p>
    <w:p w14:paraId="7067D95A" w14:textId="459275DB" w:rsidR="00151ED8" w:rsidRPr="00151ED8" w:rsidRDefault="00151ED8" w:rsidP="00151ED8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3133BF">
        <w:rPr>
          <w:b/>
          <w:bCs/>
          <w:i/>
          <w:iCs/>
        </w:rPr>
        <w:t>afe_setup_clean.sh</w:t>
      </w:r>
      <w:r>
        <w:rPr>
          <w:b/>
          <w:bCs/>
        </w:rPr>
        <w:t xml:space="preserve"> </w:t>
      </w:r>
      <w:r w:rsidR="003133BF">
        <w:rPr>
          <w:b/>
          <w:bCs/>
        </w:rPr>
        <w:t>input file parameters</w:t>
      </w:r>
    </w:p>
    <w:p w14:paraId="141B2504" w14:textId="77777777" w:rsidR="00151ED8" w:rsidRDefault="00151ED8">
      <w:pPr>
        <w:jc w:val="both"/>
        <w:rPr>
          <w:b/>
          <w:bCs/>
        </w:rPr>
      </w:pPr>
    </w:p>
    <w:p w14:paraId="4F32A388" w14:textId="372DE8A2" w:rsidR="00924728" w:rsidRDefault="003133BF">
      <w:pPr>
        <w:jc w:val="both"/>
      </w:pPr>
      <w:r>
        <w:t xml:space="preserve">Execute </w:t>
      </w:r>
      <w:r w:rsidR="00A82E3D" w:rsidRPr="003133BF">
        <w:rPr>
          <w:i/>
          <w:iCs/>
        </w:rPr>
        <w:t>afe_setup_clean.sh</w:t>
      </w:r>
      <w:r w:rsidR="00A82E3D">
        <w:t xml:space="preserve"> with -h/-help to generate </w:t>
      </w:r>
      <w:proofErr w:type="spellStart"/>
      <w:proofErr w:type="gramStart"/>
      <w:r w:rsidR="00A82E3D">
        <w:t>input.template</w:t>
      </w:r>
      <w:proofErr w:type="spellEnd"/>
      <w:proofErr w:type="gramEnd"/>
      <w:r w:rsidR="00A82E3D">
        <w:t xml:space="preserve">. You can simply copy that as “input” and </w:t>
      </w:r>
      <w:r>
        <w:t>alter flags as needed</w:t>
      </w:r>
      <w:r w:rsidR="00A82E3D">
        <w:t xml:space="preserve">. Below is </w:t>
      </w:r>
      <w:r>
        <w:t>a</w:t>
      </w:r>
      <w:r w:rsidR="00A82E3D">
        <w:t xml:space="preserve"> table for the description of variables. </w:t>
      </w:r>
    </w:p>
    <w:tbl>
      <w:tblPr>
        <w:tblW w:w="99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2520"/>
        <w:gridCol w:w="4935"/>
      </w:tblGrid>
      <w:tr w:rsidR="00924728" w14:paraId="236FF13B" w14:textId="77777777"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B8674E" w14:textId="77777777" w:rsidR="00924728" w:rsidRDefault="00A82E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FFF71" w14:textId="77777777" w:rsidR="00924728" w:rsidRDefault="00A82E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4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75F4E" w14:textId="77777777" w:rsidR="00924728" w:rsidRDefault="00A82E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4728" w14:paraId="6FE25EDF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861943" w14:textId="77777777" w:rsidR="00924728" w:rsidRDefault="00A82E3D">
            <w:pPr>
              <w:jc w:val="both"/>
            </w:pPr>
            <w:r>
              <w:t>system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83D4FC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your systems’ name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8EC9D9" w14:textId="77777777" w:rsidR="00924728" w:rsidRDefault="00A82E3D">
            <w:pPr>
              <w:pStyle w:val="TableContents"/>
            </w:pPr>
            <w:r>
              <w:t>Should be consistent with the folder name in “initial” folder.</w:t>
            </w:r>
          </w:p>
        </w:tc>
      </w:tr>
      <w:tr w:rsidR="00924728" w14:paraId="2E18DE7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E976F" w14:textId="77777777" w:rsidR="00924728" w:rsidRDefault="00A82E3D">
            <w:pPr>
              <w:pStyle w:val="TableContents"/>
            </w:pPr>
            <w:proofErr w:type="spellStart"/>
            <w:r>
              <w:t>translist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E45211" w14:textId="77777777" w:rsidR="00924728" w:rsidRDefault="00A82E3D">
            <w:pPr>
              <w:pStyle w:val="TableContents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ligA~ligB</w:t>
            </w:r>
            <w:proofErr w:type="spellEnd"/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2D40B9" w14:textId="77777777" w:rsidR="00924728" w:rsidRDefault="00A82E3D">
            <w:pPr>
              <w:pStyle w:val="TableContents"/>
            </w:pPr>
            <w:r>
              <w:t>Put “~” between two ligands, can put more than one transformation.</w:t>
            </w:r>
          </w:p>
        </w:tc>
      </w:tr>
      <w:tr w:rsidR="00924728" w14:paraId="36824F9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1A3161" w14:textId="77777777" w:rsidR="00924728" w:rsidRDefault="00A82E3D">
            <w:pPr>
              <w:pStyle w:val="TableContents"/>
            </w:pPr>
            <w:proofErr w:type="spellStart"/>
            <w:r>
              <w:t>nlambda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E4FCA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BE59A8" w14:textId="77777777" w:rsidR="00924728" w:rsidRDefault="00A82E3D">
            <w:pPr>
              <w:pStyle w:val="TableContents"/>
            </w:pPr>
            <w:r>
              <w:t>The number of lambda windows</w:t>
            </w:r>
          </w:p>
        </w:tc>
      </w:tr>
      <w:tr w:rsidR="00924728" w14:paraId="7EC317B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33E0E5" w14:textId="77777777" w:rsidR="00924728" w:rsidRDefault="00A82E3D">
            <w:pPr>
              <w:pStyle w:val="TableContents"/>
            </w:pPr>
            <w:r>
              <w:t>protocol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477BE6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unified/decoupled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68DDB4" w14:textId="77777777" w:rsidR="00924728" w:rsidRDefault="00A82E3D">
            <w:pPr>
              <w:pStyle w:val="TableContents"/>
            </w:pPr>
            <w:r>
              <w:t xml:space="preserve">Set to “unified” if you want one-step </w:t>
            </w:r>
            <w:proofErr w:type="gramStart"/>
            <w:r>
              <w:t>protocol;</w:t>
            </w:r>
            <w:proofErr w:type="gramEnd"/>
          </w:p>
          <w:p w14:paraId="280E103E" w14:textId="77777777" w:rsidR="00924728" w:rsidRDefault="00A82E3D">
            <w:pPr>
              <w:pStyle w:val="TableContents"/>
            </w:pPr>
            <w:r>
              <w:t>Set to “decoupled” if you want three-step protocol</w:t>
            </w:r>
          </w:p>
          <w:p w14:paraId="3E91E9CC" w14:textId="7C9E461B" w:rsidR="00924728" w:rsidRDefault="00A82E3D">
            <w:pPr>
              <w:pStyle w:val="TableContents"/>
            </w:pPr>
            <w:r>
              <w:t>*The current script only support</w:t>
            </w:r>
            <w:r w:rsidR="006A2EA3">
              <w:t>s</w:t>
            </w:r>
            <w:r>
              <w:t xml:space="preserve"> the unified protocol</w:t>
            </w:r>
          </w:p>
        </w:tc>
      </w:tr>
      <w:tr w:rsidR="00924728" w14:paraId="422FADE1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70C050" w14:textId="77777777" w:rsidR="00924728" w:rsidRDefault="00A82E3D">
            <w:pPr>
              <w:pStyle w:val="TableContents"/>
            </w:pPr>
            <w:r>
              <w:t>mapping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8E7CD5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MCSS/manual/checked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579A99" w14:textId="77777777" w:rsidR="00924728" w:rsidRDefault="00A82E3D">
            <w:pPr>
              <w:pStyle w:val="TableContents"/>
            </w:pPr>
            <w:r>
              <w:t>Set to “MCSS” if manual inspection is not needed (Maximum common core region</w:t>
            </w:r>
            <w:proofErr w:type="gramStart"/>
            <w:r>
              <w:t>);</w:t>
            </w:r>
            <w:proofErr w:type="gramEnd"/>
          </w:p>
          <w:p w14:paraId="4DD2A14B" w14:textId="77777777" w:rsidR="00924728" w:rsidRDefault="00A82E3D">
            <w:pPr>
              <w:pStyle w:val="TableContents"/>
            </w:pPr>
            <w:r>
              <w:t xml:space="preserve">Set to “manual” if atom mapping between state A and state B needs to be manually </w:t>
            </w:r>
            <w:proofErr w:type="gramStart"/>
            <w:r>
              <w:t>inspected;</w:t>
            </w:r>
            <w:proofErr w:type="gramEnd"/>
            <w:r>
              <w:t xml:space="preserve"> </w:t>
            </w:r>
          </w:p>
          <w:p w14:paraId="24829F8D" w14:textId="77777777" w:rsidR="00924728" w:rsidRDefault="00A82E3D">
            <w:pPr>
              <w:pStyle w:val="TableContents"/>
            </w:pPr>
            <w:r>
              <w:lastRenderedPageBreak/>
              <w:t>Set to “checked” if manual inspection has already been done after running mapping=manual</w:t>
            </w:r>
          </w:p>
        </w:tc>
      </w:tr>
      <w:tr w:rsidR="00924728" w14:paraId="1111320F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2E596B" w14:textId="77777777" w:rsidR="00924728" w:rsidRDefault="00A82E3D">
            <w:pPr>
              <w:pStyle w:val="TableContents"/>
            </w:pPr>
            <w:proofErr w:type="spellStart"/>
            <w:r>
              <w:lastRenderedPageBreak/>
              <w:t>ntrials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93F0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64C61E" w14:textId="77777777" w:rsidR="00924728" w:rsidRDefault="00A82E3D">
            <w:pPr>
              <w:pStyle w:val="TableContents"/>
            </w:pPr>
            <w:r>
              <w:t>The number of independent runs</w:t>
            </w:r>
          </w:p>
        </w:tc>
      </w:tr>
      <w:tr w:rsidR="00924728" w14:paraId="4B9CE82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BA3606" w14:textId="77777777" w:rsidR="00924728" w:rsidRDefault="00A82E3D">
            <w:pPr>
              <w:pStyle w:val="TableContents"/>
            </w:pPr>
            <w:r>
              <w:t>cutoff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B77673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47CD54" w14:textId="77777777" w:rsidR="00924728" w:rsidRDefault="00A82E3D">
            <w:pPr>
              <w:pStyle w:val="TableContents"/>
            </w:pPr>
            <w:r>
              <w:t>Non-bonded cutoff</w:t>
            </w:r>
          </w:p>
        </w:tc>
      </w:tr>
      <w:tr w:rsidR="00924728" w14:paraId="7424F91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831BCC" w14:textId="77777777" w:rsidR="00924728" w:rsidRDefault="00A82E3D">
            <w:pPr>
              <w:pStyle w:val="TableContents"/>
            </w:pPr>
            <w:proofErr w:type="spellStart"/>
            <w:r>
              <w:t>mincyc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CE5613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C8DF22" w14:textId="77777777" w:rsidR="00924728" w:rsidRDefault="00A82E3D">
            <w:pPr>
              <w:pStyle w:val="TableContents"/>
            </w:pPr>
            <w:r>
              <w:t>Max minimization cycles in lambda window equilibration</w:t>
            </w:r>
          </w:p>
        </w:tc>
      </w:tr>
      <w:tr w:rsidR="00924728" w14:paraId="5CFFC5A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4A3BF" w14:textId="77777777" w:rsidR="00924728" w:rsidRDefault="00A82E3D">
            <w:pPr>
              <w:jc w:val="both"/>
            </w:pPr>
            <w:proofErr w:type="spellStart"/>
            <w:r>
              <w:t>nstlimnvt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BABFD0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5D57D9" w14:textId="77777777" w:rsidR="00924728" w:rsidRDefault="00A82E3D">
            <w:pPr>
              <w:jc w:val="both"/>
            </w:pPr>
            <w:r>
              <w:t>Length of 0K to 298K NVT heating of lambda windows</w:t>
            </w:r>
          </w:p>
        </w:tc>
      </w:tr>
      <w:tr w:rsidR="00924728" w14:paraId="3E3B7E0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F26E8" w14:textId="77777777" w:rsidR="00924728" w:rsidRDefault="00A82E3D">
            <w:pPr>
              <w:jc w:val="both"/>
            </w:pPr>
            <w:proofErr w:type="spellStart"/>
            <w:r>
              <w:t>nstlimnpt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9480C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1E0F3E" w14:textId="77777777" w:rsidR="00924728" w:rsidRDefault="00A82E3D">
            <w:pPr>
              <w:jc w:val="both"/>
            </w:pPr>
            <w:r>
              <w:t xml:space="preserve">Length of NPT equilibration of lambda windows. </w:t>
            </w:r>
            <w:proofErr w:type="spellStart"/>
            <w:r>
              <w:t>Ingored</w:t>
            </w:r>
            <w:proofErr w:type="spellEnd"/>
            <w:r>
              <w:t xml:space="preserve"> if </w:t>
            </w:r>
            <w:proofErr w:type="spellStart"/>
            <w:r>
              <w:t>ticalc</w:t>
            </w:r>
            <w:proofErr w:type="spellEnd"/>
            <w:r>
              <w:t xml:space="preserve"> is set to '</w:t>
            </w:r>
            <w:proofErr w:type="spellStart"/>
            <w:r>
              <w:t>abfe</w:t>
            </w:r>
            <w:proofErr w:type="spellEnd"/>
            <w:r>
              <w:t>'</w:t>
            </w:r>
          </w:p>
        </w:tc>
      </w:tr>
      <w:tr w:rsidR="00924728" w14:paraId="7AA4F1E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F082C" w14:textId="77777777" w:rsidR="00924728" w:rsidRDefault="00A82E3D">
            <w:pPr>
              <w:pStyle w:val="TableContents"/>
            </w:pPr>
            <w:proofErr w:type="spellStart"/>
            <w:r>
              <w:t>repex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C93ED9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true/false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CF3E1" w14:textId="77777777" w:rsidR="00924728" w:rsidRDefault="00A82E3D">
            <w:pPr>
              <w:pStyle w:val="TableContents"/>
            </w:pPr>
            <w:r>
              <w:t>Set to “true” for the use of replica exchange in TI simulations; otherwise, set to “false”</w:t>
            </w:r>
          </w:p>
        </w:tc>
      </w:tr>
      <w:tr w:rsidR="00924728" w14:paraId="10E9064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E10BBA" w14:textId="77777777" w:rsidR="00924728" w:rsidRDefault="00A82E3D">
            <w:pPr>
              <w:jc w:val="both"/>
            </w:pPr>
            <w:proofErr w:type="spellStart"/>
            <w:r>
              <w:t>nstlimti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8BAC1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56FB06" w14:textId="77777777" w:rsidR="00924728" w:rsidRDefault="00A82E3D">
            <w:pPr>
              <w:pStyle w:val="TableContents"/>
            </w:pPr>
            <w:r>
              <w:t>Length of TI simulations</w:t>
            </w:r>
          </w:p>
        </w:tc>
      </w:tr>
      <w:tr w:rsidR="00924728" w14:paraId="7AC3EDA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A17C65" w14:textId="77777777" w:rsidR="00924728" w:rsidRDefault="00A82E3D">
            <w:pPr>
              <w:jc w:val="both"/>
            </w:pPr>
            <w:proofErr w:type="spellStart"/>
            <w:r>
              <w:t>numexchgti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2E22E9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FDED8E" w14:textId="77777777" w:rsidR="00924728" w:rsidRDefault="00A82E3D">
            <w:pPr>
              <w:jc w:val="both"/>
            </w:pPr>
            <w:r>
              <w:t xml:space="preserve">Number of exchanges in replica exchange TI simulations when setting </w:t>
            </w:r>
            <w:proofErr w:type="spellStart"/>
            <w:r>
              <w:t>repex</w:t>
            </w:r>
            <w:proofErr w:type="spellEnd"/>
            <w:r>
              <w:t>=true.</w:t>
            </w:r>
          </w:p>
          <w:p w14:paraId="088F412C" w14:textId="77777777" w:rsidR="00924728" w:rsidRDefault="00A82E3D">
            <w:pPr>
              <w:jc w:val="both"/>
            </w:pPr>
            <w:proofErr w:type="spellStart"/>
            <w:r>
              <w:t>numexchgti</w:t>
            </w:r>
            <w:proofErr w:type="spellEnd"/>
            <w:r>
              <w:t xml:space="preserve"> is ignored if </w:t>
            </w:r>
            <w:proofErr w:type="spellStart"/>
            <w:r>
              <w:t>repex</w:t>
            </w:r>
            <w:proofErr w:type="spellEnd"/>
            <w:r>
              <w:t>=false</w:t>
            </w:r>
          </w:p>
        </w:tc>
      </w:tr>
      <w:tr w:rsidR="00924728" w14:paraId="60812AF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801F9E" w14:textId="77777777" w:rsidR="00924728" w:rsidRDefault="00A82E3D">
            <w:pPr>
              <w:jc w:val="both"/>
            </w:pPr>
            <w:proofErr w:type="spellStart"/>
            <w:r>
              <w:t>hmr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49BA0D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true/false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7373C4" w14:textId="77777777" w:rsidR="00924728" w:rsidRDefault="00A82E3D">
            <w:pPr>
              <w:pStyle w:val="TableContents"/>
            </w:pPr>
            <w:r>
              <w:t xml:space="preserve">Set to “true” if hydrogen mass repartitioning is applied and dt (timestep) would be set to 4 </w:t>
            </w:r>
            <w:proofErr w:type="gramStart"/>
            <w:r>
              <w:t>fs;</w:t>
            </w:r>
            <w:proofErr w:type="gramEnd"/>
          </w:p>
          <w:p w14:paraId="3E2D0763" w14:textId="77777777" w:rsidR="00924728" w:rsidRDefault="00A82E3D">
            <w:pPr>
              <w:pStyle w:val="TableContents"/>
            </w:pPr>
            <w:r>
              <w:t>Set to “false” if hydrogen mass repartitioning is not applied and dt (timestep) would be set to 1 fs</w:t>
            </w:r>
          </w:p>
        </w:tc>
      </w:tr>
      <w:tr w:rsidR="00924728" w14:paraId="02ACB00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5B3DCB" w14:textId="77777777" w:rsidR="00924728" w:rsidRDefault="00A82E3D">
            <w:pPr>
              <w:jc w:val="both"/>
            </w:pPr>
            <w:proofErr w:type="spellStart"/>
            <w:r>
              <w:t>scalpha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5E87B1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836D8" w14:textId="77777777" w:rsidR="00924728" w:rsidRDefault="00924728">
            <w:pPr>
              <w:pStyle w:val="TableContents"/>
            </w:pPr>
          </w:p>
        </w:tc>
      </w:tr>
      <w:tr w:rsidR="00924728" w14:paraId="7B6DA0E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E98875" w14:textId="77777777" w:rsidR="00924728" w:rsidRDefault="00A82E3D">
            <w:pPr>
              <w:jc w:val="both"/>
            </w:pPr>
            <w:proofErr w:type="spellStart"/>
            <w:r>
              <w:t>scbeta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24C5C6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42289" w14:textId="77777777" w:rsidR="00924728" w:rsidRDefault="00A82E3D">
            <w:pPr>
              <w:jc w:val="both"/>
            </w:pPr>
            <w:r>
              <w:t xml:space="preserve">If </w:t>
            </w:r>
            <w:proofErr w:type="spellStart"/>
            <w:r>
              <w:t>gtibeta</w:t>
            </w:r>
            <w:proofErr w:type="spellEnd"/>
            <w:r>
              <w:t xml:space="preserve">=1, </w:t>
            </w:r>
            <w:proofErr w:type="spellStart"/>
            <w:r>
              <w:t>scbeta</w:t>
            </w:r>
            <w:proofErr w:type="spellEnd"/>
            <w:r>
              <w:t xml:space="preserve"> is defined as unit-less and scaled by </w:t>
            </w:r>
            <w:proofErr w:type="spellStart"/>
            <w:r>
              <w:t>σ</w:t>
            </w:r>
            <w:r>
              <w:rPr>
                <w:vertAlign w:val="subscript"/>
              </w:rPr>
              <w:t>ij</w:t>
            </w:r>
            <w:proofErr w:type="spellEnd"/>
          </w:p>
        </w:tc>
      </w:tr>
      <w:tr w:rsidR="00924728" w14:paraId="566E62CC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3CF62" w14:textId="77777777" w:rsidR="00924728" w:rsidRDefault="00A82E3D">
            <w:pPr>
              <w:jc w:val="both"/>
            </w:pPr>
            <w:proofErr w:type="spellStart"/>
            <w:r>
              <w:t>gti_sc_add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F7C56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5DFD34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gti_add_sc</w:t>
            </w:r>
            <w:proofErr w:type="spellEnd"/>
            <w:r>
              <w:t>” flag:</w:t>
            </w:r>
          </w:p>
          <w:p w14:paraId="11C791A1" w14:textId="77777777" w:rsidR="00924728" w:rsidRDefault="00A82E3D">
            <w:pPr>
              <w:pStyle w:val="TableContents"/>
            </w:pPr>
            <w:r>
              <w:t>1: AMBER18 default</w:t>
            </w:r>
          </w:p>
          <w:p w14:paraId="302A89E2" w14:textId="77777777" w:rsidR="00924728" w:rsidRDefault="00A82E3D">
            <w:pPr>
              <w:pStyle w:val="TableContents"/>
            </w:pPr>
            <w:r>
              <w:t>2: AMBER20 default</w:t>
            </w:r>
          </w:p>
          <w:p w14:paraId="6AF86603" w14:textId="77777777" w:rsidR="00924728" w:rsidRDefault="00A82E3D">
            <w:pPr>
              <w:pStyle w:val="TableContents"/>
            </w:pPr>
            <w:r>
              <w:t>5: AMBER20 with torsion term scaled</w:t>
            </w:r>
          </w:p>
        </w:tc>
      </w:tr>
      <w:tr w:rsidR="00924728" w14:paraId="27A419C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D1008D" w14:textId="77777777" w:rsidR="00924728" w:rsidRDefault="00A82E3D">
            <w:pPr>
              <w:jc w:val="both"/>
            </w:pPr>
            <w:proofErr w:type="spellStart"/>
            <w:r>
              <w:t>gti_scale_beta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0F164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D5D78A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gti_scale_beta</w:t>
            </w:r>
            <w:proofErr w:type="spellEnd"/>
            <w:r>
              <w:t>” flag:</w:t>
            </w:r>
          </w:p>
          <w:p w14:paraId="73BAA2BF" w14:textId="77777777" w:rsidR="00924728" w:rsidRDefault="00A82E3D">
            <w:pPr>
              <w:pStyle w:val="TableContents"/>
            </w:pPr>
            <w:r>
              <w:t xml:space="preserve">0: default, original </w:t>
            </w:r>
            <w:proofErr w:type="spellStart"/>
            <w:r>
              <w:t>scbeta</w:t>
            </w:r>
            <w:proofErr w:type="spellEnd"/>
            <w:r>
              <w:t xml:space="preserve"> behavior</w:t>
            </w:r>
          </w:p>
          <w:p w14:paraId="5A025C84" w14:textId="77777777" w:rsidR="00924728" w:rsidRDefault="00A82E3D">
            <w:pPr>
              <w:pStyle w:val="TableContents"/>
            </w:pPr>
            <w:r>
              <w:t xml:space="preserve">1: </w:t>
            </w:r>
            <w:proofErr w:type="spellStart"/>
            <w:r>
              <w:t>scbeta</w:t>
            </w:r>
            <w:proofErr w:type="spellEnd"/>
            <w:r>
              <w:t xml:space="preserve"> is defined as unit-less and scaled by </w:t>
            </w:r>
            <w:proofErr w:type="spellStart"/>
            <w:r>
              <w:t>σ</w:t>
            </w:r>
            <w:r>
              <w:rPr>
                <w:vertAlign w:val="subscript"/>
              </w:rPr>
              <w:t>ij</w:t>
            </w:r>
            <w:proofErr w:type="spellEnd"/>
          </w:p>
        </w:tc>
      </w:tr>
      <w:tr w:rsidR="00924728" w14:paraId="317C69C9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DE1B9" w14:textId="77777777" w:rsidR="00924728" w:rsidRDefault="00A82E3D">
            <w:pPr>
              <w:jc w:val="both"/>
            </w:pPr>
            <w:proofErr w:type="spellStart"/>
            <w:r>
              <w:t>gti_cut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496EC4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2B3902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gti_cut</w:t>
            </w:r>
            <w:proofErr w:type="spellEnd"/>
            <w:r>
              <w:t>” flag:</w:t>
            </w:r>
          </w:p>
          <w:p w14:paraId="4A36D978" w14:textId="77777777" w:rsidR="00924728" w:rsidRDefault="00A82E3D">
            <w:pPr>
              <w:pStyle w:val="TableContents"/>
            </w:pPr>
            <w:r>
              <w:t>0: AMBER18 default</w:t>
            </w:r>
          </w:p>
          <w:p w14:paraId="35419EF8" w14:textId="77777777" w:rsidR="00924728" w:rsidRDefault="00A82E3D">
            <w:pPr>
              <w:pStyle w:val="TableContents"/>
            </w:pPr>
            <w:r>
              <w:t>1: No cutoff within the SC region</w:t>
            </w:r>
          </w:p>
        </w:tc>
      </w:tr>
      <w:tr w:rsidR="00924728" w14:paraId="29FB058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F307C2" w14:textId="77777777" w:rsidR="00924728" w:rsidRDefault="00A82E3D">
            <w:pPr>
              <w:jc w:val="both"/>
            </w:pPr>
            <w:proofErr w:type="spellStart"/>
            <w:r>
              <w:t>gti_cut_sc_on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7D58B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C264DC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gti_cut_sc_on</w:t>
            </w:r>
            <w:proofErr w:type="spellEnd"/>
            <w:r>
              <w:t>” flag:</w:t>
            </w:r>
          </w:p>
          <w:p w14:paraId="25A44515" w14:textId="77777777" w:rsidR="00924728" w:rsidRDefault="00A82E3D">
            <w:pPr>
              <w:pStyle w:val="TableContents"/>
            </w:pPr>
            <w:r>
              <w:t xml:space="preserve">The value should be set to (cut-2.0) and it must be smaller than the value of </w:t>
            </w:r>
            <w:proofErr w:type="spellStart"/>
            <w:r>
              <w:t>gti_cut_sc_off</w:t>
            </w:r>
            <w:proofErr w:type="spellEnd"/>
            <w:r>
              <w:t>.</w:t>
            </w:r>
          </w:p>
        </w:tc>
      </w:tr>
      <w:tr w:rsidR="00924728" w14:paraId="7A202BC1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0FF026" w14:textId="77777777" w:rsidR="00924728" w:rsidRDefault="00A82E3D">
            <w:pPr>
              <w:jc w:val="both"/>
            </w:pPr>
            <w:proofErr w:type="spellStart"/>
            <w:r>
              <w:t>gti_cut_sc_off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7CAF0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549058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gti_cut_sc_off</w:t>
            </w:r>
            <w:proofErr w:type="spellEnd"/>
            <w:r>
              <w:t>” flag:</w:t>
            </w:r>
          </w:p>
          <w:p w14:paraId="2D3234CB" w14:textId="77777777" w:rsidR="00924728" w:rsidRDefault="00A82E3D">
            <w:pPr>
              <w:pStyle w:val="TableContents"/>
            </w:pPr>
            <w:r>
              <w:t>The ending distance of softcore smoothing and it must be smaller than the value of cutoff.</w:t>
            </w:r>
          </w:p>
        </w:tc>
      </w:tr>
      <w:tr w:rsidR="00924728" w14:paraId="55A993B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3B8D6A" w14:textId="77777777" w:rsidR="00924728" w:rsidRDefault="00A82E3D">
            <w:pPr>
              <w:jc w:val="both"/>
            </w:pPr>
            <w:proofErr w:type="spellStart"/>
            <w:r>
              <w:t>gti_lam_sch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ACF08D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953149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gti_lam_sch</w:t>
            </w:r>
            <w:proofErr w:type="spellEnd"/>
            <w:r>
              <w:t>” flag:</w:t>
            </w:r>
          </w:p>
          <w:p w14:paraId="01906BC1" w14:textId="77777777" w:rsidR="00924728" w:rsidRDefault="00A82E3D">
            <w:pPr>
              <w:pStyle w:val="TableContents"/>
            </w:pPr>
            <w:r>
              <w:t>0: default</w:t>
            </w:r>
          </w:p>
          <w:p w14:paraId="1C82815D" w14:textId="77777777" w:rsidR="00924728" w:rsidRDefault="00A82E3D">
            <w:pPr>
              <w:pStyle w:val="TableContents"/>
            </w:pPr>
            <w:r>
              <w:lastRenderedPageBreak/>
              <w:t>1: turn on λ-scheduling</w:t>
            </w:r>
          </w:p>
        </w:tc>
      </w:tr>
      <w:tr w:rsidR="00924728" w14:paraId="2F79D97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95C5E3" w14:textId="77777777" w:rsidR="00924728" w:rsidRDefault="00A82E3D">
            <w:pPr>
              <w:jc w:val="both"/>
            </w:pPr>
            <w:proofErr w:type="spellStart"/>
            <w:r>
              <w:lastRenderedPageBreak/>
              <w:t>gti_ele_sc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5802A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A297E9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gti_ele_sc</w:t>
            </w:r>
            <w:proofErr w:type="spellEnd"/>
            <w:r>
              <w:t>” flag:</w:t>
            </w:r>
          </w:p>
          <w:p w14:paraId="72AA9883" w14:textId="77777777" w:rsidR="00924728" w:rsidRDefault="00A82E3D">
            <w:pPr>
              <w:pStyle w:val="TableContents"/>
            </w:pPr>
            <w:r>
              <w:t>0: default</w:t>
            </w:r>
          </w:p>
          <w:p w14:paraId="15A9D5C0" w14:textId="77777777" w:rsidR="00924728" w:rsidRDefault="00A82E3D">
            <w:pPr>
              <w:pStyle w:val="TableContents"/>
            </w:pPr>
            <w:r>
              <w:t xml:space="preserve">1: turn on </w:t>
            </w:r>
            <w:proofErr w:type="gramStart"/>
            <w:r>
              <w:t>SSC(</w:t>
            </w:r>
            <w:proofErr w:type="gramEnd"/>
            <w:r>
              <w:t>2) on lambda in electrostatic part</w:t>
            </w:r>
          </w:p>
        </w:tc>
      </w:tr>
      <w:tr w:rsidR="00924728" w14:paraId="1CAD0663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98F608" w14:textId="77777777" w:rsidR="00924728" w:rsidRDefault="00A82E3D">
            <w:pPr>
              <w:jc w:val="both"/>
            </w:pPr>
            <w:proofErr w:type="spellStart"/>
            <w:r>
              <w:t>gti_vdw_sc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23938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DEACC7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gti_vdw_sc</w:t>
            </w:r>
            <w:proofErr w:type="spellEnd"/>
            <w:r>
              <w:t>” flag:</w:t>
            </w:r>
          </w:p>
          <w:p w14:paraId="7B97443A" w14:textId="77777777" w:rsidR="00924728" w:rsidRDefault="00A82E3D">
            <w:pPr>
              <w:pStyle w:val="TableContents"/>
            </w:pPr>
            <w:r>
              <w:t>0: default</w:t>
            </w:r>
          </w:p>
          <w:p w14:paraId="752161AC" w14:textId="77777777" w:rsidR="00924728" w:rsidRDefault="00A82E3D">
            <w:pPr>
              <w:pStyle w:val="TableContents"/>
            </w:pPr>
            <w:r>
              <w:t xml:space="preserve">1: turn on </w:t>
            </w:r>
            <w:proofErr w:type="gramStart"/>
            <w:r>
              <w:t>SSC(</w:t>
            </w:r>
            <w:proofErr w:type="gramEnd"/>
            <w:r>
              <w:t xml:space="preserve">2) on lambda in </w:t>
            </w:r>
            <w:proofErr w:type="spellStart"/>
            <w:r>
              <w:t>vDW</w:t>
            </w:r>
            <w:proofErr w:type="spellEnd"/>
            <w:r>
              <w:t xml:space="preserve"> part</w:t>
            </w:r>
          </w:p>
        </w:tc>
      </w:tr>
      <w:tr w:rsidR="00924728" w14:paraId="298DDC3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DAC408" w14:textId="77777777" w:rsidR="00924728" w:rsidRDefault="00A82E3D">
            <w:pPr>
              <w:jc w:val="both"/>
            </w:pPr>
            <w:proofErr w:type="spellStart"/>
            <w:r>
              <w:t>gti_cut_sc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9F25FF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17F3A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gti_cut_sc</w:t>
            </w:r>
            <w:proofErr w:type="spellEnd"/>
            <w:r>
              <w:t>” flag:</w:t>
            </w:r>
          </w:p>
          <w:p w14:paraId="65FABADF" w14:textId="77777777" w:rsidR="00924728" w:rsidRDefault="00A82E3D">
            <w:pPr>
              <w:pStyle w:val="TableContents"/>
            </w:pPr>
            <w:r>
              <w:t>0: default, no tail smoothing to SC</w:t>
            </w:r>
          </w:p>
          <w:p w14:paraId="5EDFDEF1" w14:textId="77777777" w:rsidR="00924728" w:rsidRDefault="00A82E3D">
            <w:pPr>
              <w:pStyle w:val="TableContents"/>
            </w:pPr>
            <w:r>
              <w:t>1: add smoothing to SC-</w:t>
            </w:r>
            <w:proofErr w:type="spellStart"/>
            <w:r>
              <w:t>vDW</w:t>
            </w:r>
            <w:proofErr w:type="spellEnd"/>
            <w:r>
              <w:t>, beginning at (</w:t>
            </w:r>
            <w:proofErr w:type="spellStart"/>
            <w:r>
              <w:t>gti_cut_sc_on</w:t>
            </w:r>
            <w:proofErr w:type="spellEnd"/>
            <w:r>
              <w:t>) and ending at (</w:t>
            </w:r>
            <w:proofErr w:type="spellStart"/>
            <w:r>
              <w:t>gti_cut_sc_off</w:t>
            </w:r>
            <w:proofErr w:type="spellEnd"/>
            <w:r>
              <w:t xml:space="preserve">); using </w:t>
            </w:r>
            <w:proofErr w:type="gramStart"/>
            <w:r>
              <w:t>SSC(</w:t>
            </w:r>
            <w:proofErr w:type="gramEnd"/>
            <w:r>
              <w:t>2).</w:t>
            </w:r>
          </w:p>
          <w:p w14:paraId="4D78ACE6" w14:textId="77777777" w:rsidR="00924728" w:rsidRDefault="00A82E3D">
            <w:pPr>
              <w:pStyle w:val="TableContents"/>
            </w:pPr>
            <w:r>
              <w:t>2: add smoothing to SC-</w:t>
            </w:r>
            <w:proofErr w:type="spellStart"/>
            <w:r>
              <w:t>vDW</w:t>
            </w:r>
            <w:proofErr w:type="spellEnd"/>
            <w:r>
              <w:t xml:space="preserve"> and SC-</w:t>
            </w:r>
            <w:proofErr w:type="spellStart"/>
            <w:r>
              <w:t>elec</w:t>
            </w:r>
            <w:proofErr w:type="spellEnd"/>
            <w:r>
              <w:t>, beginning at (</w:t>
            </w:r>
            <w:proofErr w:type="spellStart"/>
            <w:r>
              <w:t>gti_cut_sc_on</w:t>
            </w:r>
            <w:proofErr w:type="spellEnd"/>
            <w:r>
              <w:t>) and ending at (</w:t>
            </w:r>
            <w:proofErr w:type="spellStart"/>
            <w:r>
              <w:t>gti_cut_sc_off</w:t>
            </w:r>
            <w:proofErr w:type="spellEnd"/>
            <w:r>
              <w:t>).</w:t>
            </w:r>
          </w:p>
        </w:tc>
      </w:tr>
      <w:tr w:rsidR="00924728" w14:paraId="373706FD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4693C2" w14:textId="77777777" w:rsidR="00924728" w:rsidRDefault="00A82E3D">
            <w:pPr>
              <w:jc w:val="both"/>
            </w:pPr>
            <w:proofErr w:type="spellStart"/>
            <w:r>
              <w:t>gti_ele_exp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F4887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E2EBA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gti_ele_exp</w:t>
            </w:r>
            <w:proofErr w:type="spellEnd"/>
            <w:r>
              <w:t>” flag:</w:t>
            </w:r>
          </w:p>
          <w:p w14:paraId="12433438" w14:textId="77777777" w:rsidR="00924728" w:rsidRDefault="00A82E3D">
            <w:pPr>
              <w:pStyle w:val="TableContents"/>
            </w:pPr>
            <w:r>
              <w:t xml:space="preserve">The exponent of </w:t>
            </w:r>
            <w:proofErr w:type="spellStart"/>
            <w:r>
              <w:t>r</w:t>
            </w:r>
            <w:r>
              <w:rPr>
                <w:vertAlign w:val="subscript"/>
              </w:rPr>
              <w:t>elec</w:t>
            </w:r>
            <w:proofErr w:type="spellEnd"/>
            <w:r>
              <w:rPr>
                <w:vertAlign w:val="subscript"/>
              </w:rPr>
              <w:t xml:space="preserve">, </w:t>
            </w:r>
            <w:proofErr w:type="spellStart"/>
            <w:r>
              <w:rPr>
                <w:vertAlign w:val="subscript"/>
              </w:rPr>
              <w:t>sc</w:t>
            </w:r>
            <w:proofErr w:type="spellEnd"/>
            <w:r>
              <w:t xml:space="preserve"> (m) in the softcore </w:t>
            </w:r>
            <w:proofErr w:type="spellStart"/>
            <w:r>
              <w:t>funtion</w:t>
            </w:r>
            <w:proofErr w:type="spellEnd"/>
            <w:r>
              <w:t>; the default value is 2.</w:t>
            </w:r>
          </w:p>
        </w:tc>
      </w:tr>
      <w:tr w:rsidR="00924728" w14:paraId="6D5485D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3DCB2" w14:textId="77777777" w:rsidR="00924728" w:rsidRDefault="00A82E3D">
            <w:pPr>
              <w:jc w:val="both"/>
            </w:pPr>
            <w:proofErr w:type="spellStart"/>
            <w:r>
              <w:t>gti_vdw_exp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0668C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EDE158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gti_vdw_exp</w:t>
            </w:r>
            <w:proofErr w:type="spellEnd"/>
            <w:r>
              <w:t>” flag:</w:t>
            </w:r>
          </w:p>
          <w:p w14:paraId="36EAEB60" w14:textId="77777777" w:rsidR="00924728" w:rsidRDefault="00A82E3D">
            <w:pPr>
              <w:pStyle w:val="TableContents"/>
            </w:pPr>
            <w:r>
              <w:t xml:space="preserve">The exponent of </w:t>
            </w:r>
            <w:proofErr w:type="spellStart"/>
            <w:r>
              <w:t>r</w:t>
            </w:r>
            <w:r>
              <w:rPr>
                <w:vertAlign w:val="subscript"/>
              </w:rPr>
              <w:t>vdw</w:t>
            </w:r>
            <w:proofErr w:type="spellEnd"/>
            <w:r>
              <w:rPr>
                <w:vertAlign w:val="subscript"/>
              </w:rPr>
              <w:t xml:space="preserve">, </w:t>
            </w:r>
            <w:proofErr w:type="spellStart"/>
            <w:r>
              <w:rPr>
                <w:vertAlign w:val="subscript"/>
              </w:rPr>
              <w:t>sc</w:t>
            </w:r>
            <w:proofErr w:type="spellEnd"/>
            <w:r>
              <w:t xml:space="preserve"> (n) in the softcore </w:t>
            </w:r>
            <w:proofErr w:type="spellStart"/>
            <w:r>
              <w:t>funtion</w:t>
            </w:r>
            <w:proofErr w:type="spellEnd"/>
            <w:r>
              <w:t>; the default value is 6.</w:t>
            </w:r>
          </w:p>
        </w:tc>
      </w:tr>
      <w:tr w:rsidR="00924728" w14:paraId="7660D12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9F32EA" w14:textId="77777777" w:rsidR="00924728" w:rsidRDefault="00A82E3D">
            <w:pPr>
              <w:jc w:val="both"/>
            </w:pPr>
            <w:proofErr w:type="spellStart"/>
            <w:r>
              <w:t>ticalc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7122A3" w14:textId="77777777" w:rsidR="00924728" w:rsidRDefault="00A82E3D">
            <w:pPr>
              <w:pStyle w:val="TableContents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rbfe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rsfe</w:t>
            </w:r>
            <w:proofErr w:type="spellEnd"/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4A82B5" w14:textId="77777777" w:rsidR="00924728" w:rsidRDefault="00A82E3D">
            <w:pPr>
              <w:pStyle w:val="TableContents"/>
            </w:pPr>
            <w:r>
              <w:t>Set to “</w:t>
            </w:r>
            <w:proofErr w:type="spellStart"/>
            <w:r>
              <w:t>rbfe</w:t>
            </w:r>
            <w:proofErr w:type="spellEnd"/>
            <w:r>
              <w:t xml:space="preserve">” for the relative binding free </w:t>
            </w:r>
            <w:proofErr w:type="gramStart"/>
            <w:r>
              <w:t>energy;</w:t>
            </w:r>
            <w:proofErr w:type="gramEnd"/>
          </w:p>
          <w:p w14:paraId="34853C23" w14:textId="77777777" w:rsidR="00924728" w:rsidRDefault="00A82E3D">
            <w:pPr>
              <w:pStyle w:val="TableContents"/>
            </w:pPr>
            <w:r>
              <w:t>Set to “</w:t>
            </w:r>
            <w:proofErr w:type="spellStart"/>
            <w:r>
              <w:t>rsfe</w:t>
            </w:r>
            <w:proofErr w:type="spellEnd"/>
            <w:r>
              <w:t>” for the relative hydration free energy</w:t>
            </w:r>
          </w:p>
        </w:tc>
      </w:tr>
      <w:tr w:rsidR="00924728" w14:paraId="3588DDC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446EC0" w14:textId="03B339D7" w:rsidR="00924728" w:rsidRDefault="00A82E3D">
            <w:pPr>
              <w:jc w:val="both"/>
            </w:pPr>
            <w:r>
              <w:t>stage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9B4C3" w14:textId="6B406CB2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setup/run-</w:t>
            </w:r>
            <w:proofErr w:type="spellStart"/>
            <w:r>
              <w:rPr>
                <w:i/>
                <w:iCs/>
              </w:rPr>
              <w:t>equil</w:t>
            </w:r>
            <w:proofErr w:type="spellEnd"/>
            <w:r>
              <w:rPr>
                <w:i/>
                <w:iCs/>
              </w:rPr>
              <w:t>/check-</w:t>
            </w:r>
            <w:proofErr w:type="spellStart"/>
            <w:r>
              <w:rPr>
                <w:i/>
                <w:iCs/>
              </w:rPr>
              <w:t>equil</w:t>
            </w:r>
            <w:proofErr w:type="spellEnd"/>
            <w:r>
              <w:rPr>
                <w:i/>
                <w:iCs/>
              </w:rPr>
              <w:t>/run-TI/check-TI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DA405B" w14:textId="77777777" w:rsidR="00A17079" w:rsidRDefault="00A17079">
            <w:pPr>
              <w:pStyle w:val="TableContents"/>
            </w:pPr>
            <w:r>
              <w:t xml:space="preserve">To control the overall action of the </w:t>
            </w:r>
            <w:proofErr w:type="spellStart"/>
            <w:r>
              <w:t>scipt</w:t>
            </w:r>
            <w:proofErr w:type="spellEnd"/>
            <w:r>
              <w:t>.</w:t>
            </w:r>
            <w:r w:rsidR="00A82E3D">
              <w:t xml:space="preserve"> </w:t>
            </w:r>
          </w:p>
          <w:p w14:paraId="284E9567" w14:textId="280159B7" w:rsidR="00A17079" w:rsidRDefault="00A82E3D" w:rsidP="00A17079">
            <w:pPr>
              <w:pStyle w:val="TableContents"/>
            </w:pPr>
            <w:r>
              <w:t>“setup</w:t>
            </w:r>
            <w:proofErr w:type="gramStart"/>
            <w:r>
              <w:t xml:space="preserve">” </w:t>
            </w:r>
            <w:r w:rsidR="00A17079">
              <w:t>:</w:t>
            </w:r>
            <w:proofErr w:type="gramEnd"/>
            <w:r w:rsidR="00A17079">
              <w:t xml:space="preserve"> for </w:t>
            </w:r>
            <w:r>
              <w:t>set</w:t>
            </w:r>
            <w:r w:rsidR="00A17079">
              <w:t>ting</w:t>
            </w:r>
            <w:r>
              <w:t xml:space="preserve"> </w:t>
            </w:r>
            <w:r w:rsidR="00A17079">
              <w:t>up input directories/files</w:t>
            </w:r>
          </w:p>
          <w:p w14:paraId="1FC700C0" w14:textId="77777777" w:rsidR="00A17079" w:rsidRDefault="00A17079" w:rsidP="00A17079">
            <w:pPr>
              <w:pStyle w:val="TableContents"/>
            </w:pPr>
            <w:r>
              <w:t>“run-</w:t>
            </w:r>
            <w:proofErr w:type="spellStart"/>
            <w:r>
              <w:t>equil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for submitting equilibration jobs for all trials of all transformations.</w:t>
            </w:r>
          </w:p>
          <w:p w14:paraId="3A8D48B9" w14:textId="77777777" w:rsidR="00350D56" w:rsidRDefault="00A17079" w:rsidP="00A17079">
            <w:pPr>
              <w:pStyle w:val="TableContents"/>
            </w:pPr>
            <w:r>
              <w:t>“check-</w:t>
            </w:r>
            <w:proofErr w:type="spellStart"/>
            <w:r>
              <w:t>equil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for </w:t>
            </w:r>
            <w:r w:rsidR="00350D56">
              <w:t xml:space="preserve">performing a basic check on whether all equilibration jobs completed successfully. </w:t>
            </w:r>
          </w:p>
          <w:p w14:paraId="7D6CA502" w14:textId="6F3C5DC7" w:rsidR="00350D56" w:rsidRDefault="00350D56" w:rsidP="00350D56">
            <w:pPr>
              <w:pStyle w:val="TableContents"/>
            </w:pPr>
            <w:r>
              <w:t>“run-TI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 w:rsidR="00A17079">
              <w:t xml:space="preserve"> </w:t>
            </w:r>
            <w:r>
              <w:t>for submitting production TI jobs for all trials of all transformations.</w:t>
            </w:r>
          </w:p>
          <w:p w14:paraId="23B36DD2" w14:textId="3F6C970C" w:rsidR="00924728" w:rsidRDefault="00350D56" w:rsidP="00A17079">
            <w:pPr>
              <w:pStyle w:val="TableContents"/>
            </w:pPr>
            <w:r>
              <w:t>“check-TI</w:t>
            </w:r>
            <w:proofErr w:type="gramStart"/>
            <w:r>
              <w:t>” :</w:t>
            </w:r>
            <w:proofErr w:type="gramEnd"/>
            <w:r>
              <w:t xml:space="preserve"> for performing a basic check on whether all production jobs completed successfully.</w:t>
            </w:r>
          </w:p>
        </w:tc>
      </w:tr>
      <w:tr w:rsidR="00924728" w14:paraId="541D593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B179AE" w14:textId="2FA316E8" w:rsidR="00924728" w:rsidRDefault="00A82E3D">
            <w:pPr>
              <w:jc w:val="both"/>
            </w:pPr>
            <w:r>
              <w:t>partition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95E63F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The name of specific partition on HPC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AED726" w14:textId="77777777" w:rsidR="00924728" w:rsidRDefault="00A82E3D">
            <w:pPr>
              <w:pStyle w:val="TableContents"/>
            </w:pPr>
            <w:r>
              <w:t xml:space="preserve">Put the name of specific partition on HPC. </w:t>
            </w:r>
          </w:p>
          <w:p w14:paraId="5C80CBF5" w14:textId="77777777" w:rsidR="00924728" w:rsidRDefault="00A82E3D">
            <w:pPr>
              <w:pStyle w:val="TableContents"/>
            </w:pPr>
            <w:r>
              <w:t>Set to “null” if it is not relevant.</w:t>
            </w:r>
          </w:p>
        </w:tc>
      </w:tr>
      <w:tr w:rsidR="00924728" w14:paraId="7AEB8F2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F432FB" w14:textId="4586224A" w:rsidR="00924728" w:rsidRDefault="00A82E3D">
            <w:pPr>
              <w:jc w:val="both"/>
            </w:pPr>
            <w:proofErr w:type="spellStart"/>
            <w:r>
              <w:t>nnodes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5469CD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6BB42A" w14:textId="77777777" w:rsidR="00924728" w:rsidRDefault="00A82E3D">
            <w:pPr>
              <w:pStyle w:val="TableContents"/>
            </w:pPr>
            <w:r>
              <w:t>Put the number of nodes to be used.</w:t>
            </w:r>
          </w:p>
        </w:tc>
      </w:tr>
      <w:tr w:rsidR="00924728" w14:paraId="4D92D9E3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E02B47" w14:textId="0A0897CB" w:rsidR="00924728" w:rsidRDefault="00A82E3D">
            <w:pPr>
              <w:jc w:val="both"/>
            </w:pPr>
            <w:proofErr w:type="spellStart"/>
            <w:r>
              <w:t>ngpus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E927B8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A5B161" w14:textId="77777777" w:rsidR="00924728" w:rsidRDefault="00A82E3D">
            <w:pPr>
              <w:pStyle w:val="TableContents"/>
            </w:pPr>
            <w:r>
              <w:t xml:space="preserve">Put the number of </w:t>
            </w:r>
            <w:proofErr w:type="spellStart"/>
            <w:r>
              <w:t>gpu</w:t>
            </w:r>
            <w:proofErr w:type="spellEnd"/>
            <w:r>
              <w:t>/node to be used.</w:t>
            </w:r>
          </w:p>
        </w:tc>
      </w:tr>
      <w:tr w:rsidR="00924728" w14:paraId="5C4FDB2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DB8DA" w14:textId="4ED7F286" w:rsidR="00924728" w:rsidRDefault="00A82E3D">
            <w:pPr>
              <w:jc w:val="both"/>
            </w:pPr>
            <w:proofErr w:type="spellStart"/>
            <w:r>
              <w:t>wallclock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693F70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time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B38707" w14:textId="77777777" w:rsidR="00924728" w:rsidRDefault="00A82E3D">
            <w:pPr>
              <w:pStyle w:val="TableContents"/>
            </w:pPr>
            <w:r>
              <w:t xml:space="preserve">Put the </w:t>
            </w:r>
            <w:proofErr w:type="spellStart"/>
            <w:r>
              <w:t>wallclock</w:t>
            </w:r>
            <w:proofErr w:type="spellEnd"/>
            <w:r>
              <w:t xml:space="preserve"> for individual jobs.</w:t>
            </w:r>
          </w:p>
        </w:tc>
      </w:tr>
    </w:tbl>
    <w:p w14:paraId="7E9654AE" w14:textId="1D557D2A" w:rsidR="00924728" w:rsidRDefault="00924728">
      <w:pPr>
        <w:jc w:val="both"/>
      </w:pPr>
    </w:p>
    <w:p w14:paraId="73AF6555" w14:textId="77777777" w:rsidR="003133BF" w:rsidRDefault="003133BF">
      <w:pPr>
        <w:jc w:val="both"/>
      </w:pPr>
    </w:p>
    <w:p w14:paraId="21251EF8" w14:textId="30D127E1" w:rsidR="003133BF" w:rsidRPr="00151ED8" w:rsidRDefault="003133BF" w:rsidP="003133BF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Setting up input files</w:t>
      </w:r>
      <w:r w:rsidRPr="00151ED8">
        <w:rPr>
          <w:b/>
          <w:bCs/>
        </w:rPr>
        <w:t xml:space="preserve"> using </w:t>
      </w:r>
      <w:r w:rsidRPr="00151ED8">
        <w:rPr>
          <w:b/>
          <w:bCs/>
          <w:i/>
          <w:iCs/>
        </w:rPr>
        <w:t>afe_setup_clean.sh</w:t>
      </w:r>
    </w:p>
    <w:p w14:paraId="683B934A" w14:textId="774265EA" w:rsidR="00924728" w:rsidRDefault="00A82E3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14:paraId="7547A919" w14:textId="51F54E39" w:rsidR="00924728" w:rsidRDefault="00A82E3D">
      <w:pPr>
        <w:jc w:val="both"/>
      </w:pPr>
      <w:r>
        <w:t xml:space="preserve">Once you have the </w:t>
      </w:r>
      <w:r w:rsidR="00FC5B1F" w:rsidRPr="00FC5B1F">
        <w:rPr>
          <w:i/>
          <w:iCs/>
        </w:rPr>
        <w:t>i</w:t>
      </w:r>
      <w:r w:rsidRPr="00FC5B1F">
        <w:rPr>
          <w:i/>
          <w:iCs/>
        </w:rPr>
        <w:t>nitial</w:t>
      </w:r>
      <w:r>
        <w:t xml:space="preserve"> folder and </w:t>
      </w:r>
      <w:r w:rsidRPr="00FC5B1F">
        <w:rPr>
          <w:i/>
          <w:iCs/>
        </w:rPr>
        <w:t>input</w:t>
      </w:r>
      <w:r>
        <w:t xml:space="preserve"> file </w:t>
      </w:r>
      <w:r w:rsidR="00FC5B1F">
        <w:t>ready</w:t>
      </w:r>
      <w:r>
        <w:t xml:space="preserve">, run </w:t>
      </w:r>
      <w:r w:rsidRPr="00FC5B1F">
        <w:rPr>
          <w:i/>
          <w:iCs/>
        </w:rPr>
        <w:t>afe_setup_clean.sh</w:t>
      </w:r>
      <w:r w:rsidR="00DA480D">
        <w:t xml:space="preserve"> with </w:t>
      </w:r>
      <w:r w:rsidR="00DA480D" w:rsidRPr="00DA480D">
        <w:rPr>
          <w:i/>
          <w:iCs/>
        </w:rPr>
        <w:t>stage</w:t>
      </w:r>
      <w:r w:rsidR="00DA480D">
        <w:t xml:space="preserve"> set to </w:t>
      </w:r>
      <w:r w:rsidR="00DA480D" w:rsidRPr="00DA480D">
        <w:rPr>
          <w:i/>
          <w:iCs/>
        </w:rPr>
        <w:t>setup</w:t>
      </w:r>
      <w:r>
        <w:t xml:space="preserve">. The input files for TI simulations should be built automatically. </w:t>
      </w:r>
      <w:r w:rsidR="006A2EA3">
        <w:t xml:space="preserve"> </w:t>
      </w:r>
      <w:r w:rsidR="00DA480D">
        <w:t xml:space="preserve">Intermediate files generated during the setup process and final files required to run the TI simulations will be placed in respective </w:t>
      </w:r>
      <w:r w:rsidR="00DA480D" w:rsidRPr="00DA480D">
        <w:rPr>
          <w:i/>
          <w:iCs/>
        </w:rPr>
        <w:t>build</w:t>
      </w:r>
      <w:r w:rsidR="00DA480D">
        <w:t xml:space="preserve"> and </w:t>
      </w:r>
      <w:r w:rsidR="00DA480D" w:rsidRPr="00DA480D">
        <w:rPr>
          <w:i/>
          <w:iCs/>
        </w:rPr>
        <w:t>run</w:t>
      </w:r>
      <w:r w:rsidR="00DA480D">
        <w:t xml:space="preserve"> folders. </w:t>
      </w:r>
    </w:p>
    <w:p w14:paraId="592F2854" w14:textId="6912B0A6" w:rsidR="00924728" w:rsidRDefault="00924728">
      <w:pPr>
        <w:jc w:val="both"/>
      </w:pPr>
    </w:p>
    <w:p w14:paraId="5479A4E3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71D63BE5" w14:textId="3DEFD46E" w:rsidR="006A2EA3" w:rsidRDefault="006A2EA3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FEE0883" wp14:editId="79FB8853">
            <wp:simplePos x="0" y="0"/>
            <wp:positionH relativeFrom="column">
              <wp:posOffset>1137285</wp:posOffset>
            </wp:positionH>
            <wp:positionV relativeFrom="paragraph">
              <wp:posOffset>5715</wp:posOffset>
            </wp:positionV>
            <wp:extent cx="3438525" cy="310578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DF2A1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605B24D" w14:textId="007744A2" w:rsidR="006A2EA3" w:rsidRDefault="006A2EA3">
      <w:pPr>
        <w:jc w:val="both"/>
        <w:rPr>
          <w:b/>
          <w:bCs/>
          <w:sz w:val="28"/>
          <w:szCs w:val="28"/>
        </w:rPr>
      </w:pPr>
    </w:p>
    <w:p w14:paraId="10AABE92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00E355C6" w14:textId="16C19D69" w:rsidR="006A2EA3" w:rsidRDefault="006A2EA3">
      <w:pPr>
        <w:jc w:val="both"/>
        <w:rPr>
          <w:b/>
          <w:bCs/>
          <w:sz w:val="28"/>
          <w:szCs w:val="28"/>
        </w:rPr>
      </w:pPr>
    </w:p>
    <w:p w14:paraId="35E55DF2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F7D225A" w14:textId="3ED1AED1" w:rsidR="006A2EA3" w:rsidRDefault="006A2EA3">
      <w:pPr>
        <w:jc w:val="both"/>
        <w:rPr>
          <w:b/>
          <w:bCs/>
          <w:sz w:val="28"/>
          <w:szCs w:val="28"/>
        </w:rPr>
      </w:pPr>
    </w:p>
    <w:p w14:paraId="08B5E814" w14:textId="7AA67513" w:rsidR="006A2EA3" w:rsidRDefault="006A2EA3">
      <w:pPr>
        <w:jc w:val="both"/>
        <w:rPr>
          <w:b/>
          <w:bCs/>
          <w:sz w:val="28"/>
          <w:szCs w:val="28"/>
        </w:rPr>
      </w:pPr>
    </w:p>
    <w:p w14:paraId="00F68A98" w14:textId="1B7EBCDA" w:rsidR="006A2EA3" w:rsidRDefault="006A2EA3">
      <w:pPr>
        <w:jc w:val="both"/>
        <w:rPr>
          <w:b/>
          <w:bCs/>
          <w:sz w:val="28"/>
          <w:szCs w:val="28"/>
        </w:rPr>
      </w:pPr>
    </w:p>
    <w:p w14:paraId="76506DB2" w14:textId="466E3482" w:rsidR="006A2EA3" w:rsidRDefault="006A2EA3">
      <w:pPr>
        <w:jc w:val="both"/>
        <w:rPr>
          <w:b/>
          <w:bCs/>
          <w:sz w:val="28"/>
          <w:szCs w:val="28"/>
        </w:rPr>
      </w:pPr>
    </w:p>
    <w:p w14:paraId="75357210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1C7A856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2B6A9AFB" w14:textId="58AB2E84" w:rsidR="006A2EA3" w:rsidRDefault="006A2EA3">
      <w:pPr>
        <w:jc w:val="both"/>
        <w:rPr>
          <w:b/>
          <w:bCs/>
          <w:sz w:val="28"/>
          <w:szCs w:val="28"/>
        </w:rPr>
      </w:pPr>
    </w:p>
    <w:p w14:paraId="2A01C1E6" w14:textId="26DB3084" w:rsidR="006A2EA3" w:rsidRDefault="006A2EA3">
      <w:pPr>
        <w:jc w:val="both"/>
        <w:rPr>
          <w:b/>
          <w:bCs/>
          <w:sz w:val="28"/>
          <w:szCs w:val="28"/>
        </w:rPr>
      </w:pPr>
    </w:p>
    <w:p w14:paraId="4275C0CF" w14:textId="120E62FA" w:rsidR="006A2EA3" w:rsidRDefault="006A2EA3">
      <w:pPr>
        <w:jc w:val="both"/>
        <w:rPr>
          <w:b/>
          <w:bCs/>
          <w:sz w:val="28"/>
          <w:szCs w:val="28"/>
        </w:rPr>
      </w:pPr>
    </w:p>
    <w:p w14:paraId="5B856635" w14:textId="07FBE853" w:rsidR="006A2EA3" w:rsidRDefault="006A2EA3">
      <w:pPr>
        <w:jc w:val="both"/>
        <w:rPr>
          <w:b/>
          <w:bCs/>
          <w:sz w:val="28"/>
          <w:szCs w:val="28"/>
        </w:rPr>
      </w:pPr>
    </w:p>
    <w:p w14:paraId="1917EFD9" w14:textId="41A9D61B" w:rsidR="006A2EA3" w:rsidRPr="00A82E3D" w:rsidRDefault="006A2EA3" w:rsidP="00A82E3D">
      <w:pPr>
        <w:jc w:val="center"/>
      </w:pPr>
      <w:r>
        <w:t>Fig 2. The structure for the system folder.</w:t>
      </w:r>
    </w:p>
    <w:p w14:paraId="0814DB87" w14:textId="20AF1A74" w:rsidR="003133BF" w:rsidRPr="00151ED8" w:rsidRDefault="003133BF" w:rsidP="003133BF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Running TI simulations </w:t>
      </w:r>
    </w:p>
    <w:p w14:paraId="72998F21" w14:textId="77777777" w:rsidR="003133BF" w:rsidRDefault="003133BF">
      <w:pPr>
        <w:jc w:val="both"/>
        <w:rPr>
          <w:b/>
          <w:bCs/>
          <w:sz w:val="28"/>
          <w:szCs w:val="28"/>
        </w:rPr>
      </w:pPr>
    </w:p>
    <w:p w14:paraId="017DA7DF" w14:textId="04BE4019" w:rsidR="00924728" w:rsidRDefault="00A82E3D">
      <w:pPr>
        <w:jc w:val="both"/>
      </w:pPr>
      <w:r>
        <w:t>Before t</w:t>
      </w:r>
      <w:r w:rsidR="004C0866">
        <w:t xml:space="preserve">he production </w:t>
      </w:r>
      <w:r>
        <w:t xml:space="preserve">TI simulations, </w:t>
      </w:r>
      <w:r w:rsidR="004C0866">
        <w:t xml:space="preserve">an equilibration protocol, consisting of a minimization, heating at constant NVT, and brief MD at constant NPT are performed. </w:t>
      </w:r>
      <w:proofErr w:type="gramStart"/>
      <w:r>
        <w:t>All of</w:t>
      </w:r>
      <w:proofErr w:type="gramEnd"/>
      <w:r>
        <w:t xml:space="preserve"> the</w:t>
      </w:r>
      <w:r w:rsidR="004C0866">
        <w:t>se steps</w:t>
      </w:r>
      <w:r>
        <w:t xml:space="preserve"> can easily be performed by changing </w:t>
      </w:r>
      <w:r w:rsidRPr="0024045E">
        <w:rPr>
          <w:i/>
          <w:iCs/>
        </w:rPr>
        <w:t>stage</w:t>
      </w:r>
      <w:r>
        <w:t xml:space="preserve"> in </w:t>
      </w:r>
      <w:r w:rsidRPr="0024045E">
        <w:rPr>
          <w:i/>
          <w:iCs/>
        </w:rPr>
        <w:t>input</w:t>
      </w:r>
      <w:r>
        <w:t xml:space="preserve">. </w:t>
      </w:r>
    </w:p>
    <w:p w14:paraId="4C9DB542" w14:textId="77777777" w:rsidR="00924728" w:rsidRDefault="00924728">
      <w:pPr>
        <w:jc w:val="both"/>
      </w:pPr>
    </w:p>
    <w:sectPr w:rsidR="0092472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2ACA"/>
    <w:multiLevelType w:val="multilevel"/>
    <w:tmpl w:val="AA006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2558BA"/>
    <w:multiLevelType w:val="multilevel"/>
    <w:tmpl w:val="2892E1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00C1B4E"/>
    <w:multiLevelType w:val="multilevel"/>
    <w:tmpl w:val="5EA696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D42242"/>
    <w:multiLevelType w:val="multilevel"/>
    <w:tmpl w:val="AA006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0C42E4"/>
    <w:multiLevelType w:val="multilevel"/>
    <w:tmpl w:val="45FAEE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725BB8"/>
    <w:multiLevelType w:val="hybridMultilevel"/>
    <w:tmpl w:val="464A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4B5D"/>
    <w:multiLevelType w:val="multilevel"/>
    <w:tmpl w:val="AF8C1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5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C0484D"/>
    <w:multiLevelType w:val="multilevel"/>
    <w:tmpl w:val="DE6678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EBF612B"/>
    <w:multiLevelType w:val="multilevel"/>
    <w:tmpl w:val="1E38D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0B754C"/>
    <w:multiLevelType w:val="hybridMultilevel"/>
    <w:tmpl w:val="E968F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E6398"/>
    <w:multiLevelType w:val="hybridMultilevel"/>
    <w:tmpl w:val="3DCC2A96"/>
    <w:lvl w:ilvl="0" w:tplc="F15628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728"/>
    <w:rsid w:val="0012068B"/>
    <w:rsid w:val="00133837"/>
    <w:rsid w:val="00151ED8"/>
    <w:rsid w:val="0020737D"/>
    <w:rsid w:val="0024045E"/>
    <w:rsid w:val="003133BF"/>
    <w:rsid w:val="00350D56"/>
    <w:rsid w:val="00373B54"/>
    <w:rsid w:val="003C15E4"/>
    <w:rsid w:val="004C0866"/>
    <w:rsid w:val="00577588"/>
    <w:rsid w:val="0058219B"/>
    <w:rsid w:val="005C6ED0"/>
    <w:rsid w:val="0067717E"/>
    <w:rsid w:val="006A2EA3"/>
    <w:rsid w:val="00717511"/>
    <w:rsid w:val="00924728"/>
    <w:rsid w:val="00960B32"/>
    <w:rsid w:val="00A17079"/>
    <w:rsid w:val="00A51500"/>
    <w:rsid w:val="00A82E3D"/>
    <w:rsid w:val="00A910B1"/>
    <w:rsid w:val="00B504FC"/>
    <w:rsid w:val="00D03794"/>
    <w:rsid w:val="00DA239B"/>
    <w:rsid w:val="00DA480D"/>
    <w:rsid w:val="00E9778D"/>
    <w:rsid w:val="00EC0FB3"/>
    <w:rsid w:val="00ED223E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BD19"/>
  <w15:docId w15:val="{F88F71A1-C3BF-4615-A3ED-70860A9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19B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9B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9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9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9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9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9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9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9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73B5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50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4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219B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8219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9B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9B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9B"/>
    <w:rPr>
      <w:rFonts w:asciiTheme="majorHAnsi" w:eastAsiaTheme="majorEastAsia" w:hAnsiTheme="majorHAnsi" w:cs="Mangal"/>
      <w:color w:val="2F5496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9B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9B"/>
    <w:rPr>
      <w:rFonts w:asciiTheme="majorHAnsi" w:eastAsiaTheme="majorEastAsia" w:hAnsiTheme="majorHAnsi" w:cs="Mangal"/>
      <w:i/>
      <w:iCs/>
      <w:color w:val="1F3763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9B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9B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kit.org/docs/Install.html#installation" TargetMode="External"/><Relationship Id="rId5" Type="http://schemas.openxmlformats.org/officeDocument/2006/relationships/hyperlink" Target="mailto:git@gitlab.com:RutgersLBSR/amber-drug-discovery-boos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6996</TotalTime>
  <Pages>5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Abir Ganguly</cp:lastModifiedBy>
  <cp:revision>31</cp:revision>
  <dcterms:created xsi:type="dcterms:W3CDTF">2020-11-02T14:34:00Z</dcterms:created>
  <dcterms:modified xsi:type="dcterms:W3CDTF">2020-12-07T20:35:00Z</dcterms:modified>
  <dc:language>en-US</dc:language>
</cp:coreProperties>
</file>