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A8" w:rsidRDefault="00781E94" w:rsidP="00781E94">
      <w:pPr>
        <w:jc w:val="center"/>
        <w:rPr>
          <w:b/>
          <w:sz w:val="32"/>
          <w:szCs w:val="32"/>
        </w:rPr>
      </w:pPr>
      <w:r w:rsidRPr="00781E94">
        <w:rPr>
          <w:b/>
          <w:sz w:val="32"/>
          <w:szCs w:val="32"/>
        </w:rPr>
        <w:t xml:space="preserve">SY09 Printemps </w:t>
      </w:r>
      <w:r>
        <w:rPr>
          <w:b/>
          <w:sz w:val="32"/>
          <w:szCs w:val="32"/>
        </w:rPr>
        <w:t>2009</w:t>
      </w:r>
    </w:p>
    <w:p w:rsidR="00781E94" w:rsidRPr="0001249E" w:rsidRDefault="00781E94" w:rsidP="00781E94">
      <w:pPr>
        <w:jc w:val="center"/>
        <w:rPr>
          <w:b/>
          <w:szCs w:val="24"/>
        </w:rPr>
      </w:pPr>
    </w:p>
    <w:p w:rsidR="00781E94" w:rsidRDefault="00781E94" w:rsidP="00781E94">
      <w:pPr>
        <w:jc w:val="center"/>
        <w:rPr>
          <w:b/>
          <w:sz w:val="32"/>
          <w:szCs w:val="32"/>
        </w:rPr>
      </w:pPr>
      <w:r w:rsidRPr="00781E94">
        <w:rPr>
          <w:b/>
          <w:sz w:val="32"/>
          <w:szCs w:val="32"/>
        </w:rPr>
        <w:t>Statistique descriptive, Analyse en composantes principales</w:t>
      </w:r>
    </w:p>
    <w:p w:rsidR="008D3E5F" w:rsidRPr="00844A8B" w:rsidRDefault="008D3E5F" w:rsidP="008D3E5F">
      <w:pPr>
        <w:rPr>
          <w:sz w:val="36"/>
          <w:szCs w:val="36"/>
        </w:rPr>
      </w:pPr>
    </w:p>
    <w:p w:rsidR="008D3E5F" w:rsidRPr="002A5219" w:rsidRDefault="002A5219" w:rsidP="002A5219">
      <w:pPr>
        <w:rPr>
          <w:rStyle w:val="Rfrenceintense"/>
          <w:color w:val="632423" w:themeColor="accent2" w:themeShade="80"/>
        </w:rPr>
      </w:pPr>
      <w:r>
        <w:rPr>
          <w:rStyle w:val="Rfrenceintense"/>
          <w:color w:val="632423" w:themeColor="accent2" w:themeShade="80"/>
        </w:rPr>
        <w:t xml:space="preserve">Exercice I : </w:t>
      </w:r>
      <w:r w:rsidR="008D3E5F" w:rsidRPr="002A5219">
        <w:rPr>
          <w:rStyle w:val="Rfrenceintense"/>
          <w:color w:val="632423" w:themeColor="accent2" w:themeShade="80"/>
        </w:rPr>
        <w:t>Statistique descriptive</w:t>
      </w:r>
    </w:p>
    <w:p w:rsidR="0057749D" w:rsidRDefault="0057749D" w:rsidP="002A5219">
      <w:pPr>
        <w:ind w:firstLine="284"/>
        <w:rPr>
          <w:sz w:val="20"/>
          <w:szCs w:val="20"/>
        </w:rPr>
      </w:pPr>
    </w:p>
    <w:p w:rsidR="008D3E5F" w:rsidRPr="00844A8B" w:rsidRDefault="008D3E5F" w:rsidP="002A5219">
      <w:pPr>
        <w:ind w:firstLine="284"/>
        <w:rPr>
          <w:sz w:val="22"/>
        </w:rPr>
      </w:pPr>
      <w:r w:rsidRPr="00844A8B">
        <w:rPr>
          <w:sz w:val="22"/>
        </w:rPr>
        <w:t>On part d’un jeu de donnée (de type « tableau individu/variable ») constitué de 1236 bébés décrits par 23 variables.</w:t>
      </w:r>
      <w:r w:rsidR="002A5219" w:rsidRPr="00844A8B">
        <w:rPr>
          <w:sz w:val="22"/>
        </w:rPr>
        <w:t xml:space="preserve"> </w:t>
      </w:r>
      <w:r w:rsidRPr="00844A8B">
        <w:rPr>
          <w:sz w:val="22"/>
        </w:rPr>
        <w:t xml:space="preserve">Pour la réalisation de cet exercice, </w:t>
      </w:r>
      <w:r w:rsidR="002A5219" w:rsidRPr="00844A8B">
        <w:rPr>
          <w:sz w:val="22"/>
        </w:rPr>
        <w:t>nous travaillerons sur 8 des 23 variables.</w:t>
      </w:r>
    </w:p>
    <w:p w:rsidR="005A71D1" w:rsidRPr="00844A8B" w:rsidRDefault="005A71D1" w:rsidP="008D3E5F">
      <w:pPr>
        <w:rPr>
          <w:sz w:val="36"/>
          <w:szCs w:val="36"/>
        </w:rPr>
      </w:pPr>
    </w:p>
    <w:p w:rsidR="005A71D1" w:rsidRPr="00C101D8" w:rsidRDefault="005A71D1" w:rsidP="008D3E5F">
      <w:pPr>
        <w:rPr>
          <w:b/>
          <w:i/>
          <w:color w:val="632423" w:themeColor="accent2" w:themeShade="80"/>
          <w:sz w:val="22"/>
        </w:rPr>
      </w:pPr>
      <w:r w:rsidRPr="00C101D8">
        <w:rPr>
          <w:b/>
          <w:i/>
          <w:color w:val="632423" w:themeColor="accent2" w:themeShade="80"/>
          <w:sz w:val="22"/>
        </w:rPr>
        <w:t>Questions</w:t>
      </w:r>
    </w:p>
    <w:p w:rsidR="005A71D1" w:rsidRPr="00844A8B" w:rsidRDefault="005A71D1" w:rsidP="005A71D1">
      <w:pPr>
        <w:pStyle w:val="Paragraphedeliste"/>
        <w:numPr>
          <w:ilvl w:val="0"/>
          <w:numId w:val="2"/>
        </w:numPr>
        <w:rPr>
          <w:i/>
          <w:sz w:val="22"/>
        </w:rPr>
      </w:pPr>
      <w:r w:rsidRPr="00844A8B">
        <w:rPr>
          <w:i/>
          <w:sz w:val="22"/>
        </w:rPr>
        <w:t>Quelle est la différence de poids</w:t>
      </w:r>
      <w:r w:rsidR="0062465D" w:rsidRPr="00844A8B">
        <w:rPr>
          <w:i/>
          <w:sz w:val="22"/>
        </w:rPr>
        <w:t xml:space="preserve"> entre les bébés nés de mères qui fumaient durant la grossesse et celles qui ne fumaient pas ?</w:t>
      </w:r>
    </w:p>
    <w:p w:rsidR="0062465D" w:rsidRPr="00844A8B" w:rsidRDefault="0062465D" w:rsidP="0062465D">
      <w:pPr>
        <w:rPr>
          <w:sz w:val="16"/>
          <w:szCs w:val="16"/>
        </w:rPr>
      </w:pPr>
    </w:p>
    <w:p w:rsidR="00694021" w:rsidRPr="00844A8B" w:rsidRDefault="002A5219" w:rsidP="002A5219">
      <w:pPr>
        <w:ind w:firstLine="284"/>
        <w:rPr>
          <w:sz w:val="22"/>
        </w:rPr>
      </w:pPr>
      <w:r w:rsidRPr="00844A8B">
        <w:rPr>
          <w:sz w:val="22"/>
        </w:rPr>
        <w:t>Nous voulons</w:t>
      </w:r>
      <w:r w:rsidR="00694021" w:rsidRPr="00844A8B">
        <w:rPr>
          <w:sz w:val="22"/>
        </w:rPr>
        <w:t xml:space="preserve"> comparer </w:t>
      </w:r>
      <w:r w:rsidR="00694021" w:rsidRPr="00844A8B">
        <w:rPr>
          <w:b/>
          <w:sz w:val="22"/>
        </w:rPr>
        <w:t>une variable quantitative</w:t>
      </w:r>
      <w:r w:rsidR="00694021" w:rsidRPr="00844A8B">
        <w:rPr>
          <w:sz w:val="22"/>
        </w:rPr>
        <w:t xml:space="preserve"> (poids de naissance) et </w:t>
      </w:r>
      <w:r w:rsidR="00694021" w:rsidRPr="00844A8B">
        <w:rPr>
          <w:b/>
          <w:sz w:val="22"/>
        </w:rPr>
        <w:t>une variable qualitative</w:t>
      </w:r>
      <w:r w:rsidR="00694021" w:rsidRPr="00844A8B">
        <w:rPr>
          <w:sz w:val="22"/>
        </w:rPr>
        <w:t xml:space="preserve"> (mère fume</w:t>
      </w:r>
      <w:r w:rsidRPr="00844A8B">
        <w:rPr>
          <w:sz w:val="22"/>
        </w:rPr>
        <w:t>use</w:t>
      </w:r>
      <w:r w:rsidR="00694021" w:rsidRPr="00844A8B">
        <w:rPr>
          <w:sz w:val="22"/>
        </w:rPr>
        <w:t xml:space="preserve"> durant la grossesse</w:t>
      </w:r>
      <w:r w:rsidRPr="00844A8B">
        <w:rPr>
          <w:sz w:val="22"/>
        </w:rPr>
        <w:t>) ; nous</w:t>
      </w:r>
      <w:r w:rsidR="008829A9" w:rsidRPr="00844A8B">
        <w:rPr>
          <w:sz w:val="22"/>
        </w:rPr>
        <w:t xml:space="preserve"> cherch</w:t>
      </w:r>
      <w:r w:rsidRPr="00844A8B">
        <w:rPr>
          <w:sz w:val="22"/>
        </w:rPr>
        <w:t>ons</w:t>
      </w:r>
      <w:r w:rsidR="008829A9" w:rsidRPr="00844A8B">
        <w:rPr>
          <w:sz w:val="22"/>
        </w:rPr>
        <w:t xml:space="preserve"> </w:t>
      </w:r>
      <w:r w:rsidR="008E007D" w:rsidRPr="00844A8B">
        <w:rPr>
          <w:sz w:val="22"/>
        </w:rPr>
        <w:t xml:space="preserve">alors </w:t>
      </w:r>
      <w:r w:rsidR="008829A9" w:rsidRPr="00844A8B">
        <w:rPr>
          <w:sz w:val="22"/>
        </w:rPr>
        <w:t>à décrire les liens entre les deux couples de variables.</w:t>
      </w:r>
    </w:p>
    <w:p w:rsidR="0079325C" w:rsidRPr="00844A8B" w:rsidRDefault="0079325C" w:rsidP="0062465D">
      <w:pPr>
        <w:rPr>
          <w:sz w:val="22"/>
        </w:rPr>
      </w:pPr>
    </w:p>
    <w:p w:rsidR="00694021" w:rsidRPr="00844A8B" w:rsidRDefault="002A5219" w:rsidP="0062465D">
      <w:pPr>
        <w:rPr>
          <w:sz w:val="22"/>
        </w:rPr>
      </w:pPr>
      <w:r w:rsidRPr="00844A8B">
        <w:rPr>
          <w:sz w:val="22"/>
        </w:rPr>
        <w:t>Deux</w:t>
      </w:r>
      <w:r w:rsidR="00694021" w:rsidRPr="00844A8B">
        <w:rPr>
          <w:sz w:val="22"/>
        </w:rPr>
        <w:t xml:space="preserve"> modes de représentation sont alors possibles :</w:t>
      </w:r>
    </w:p>
    <w:p w:rsidR="0079325C" w:rsidRPr="00844A8B" w:rsidRDefault="008829A9" w:rsidP="00844A8B">
      <w:pPr>
        <w:pStyle w:val="Paragraphedeliste"/>
        <w:numPr>
          <w:ilvl w:val="0"/>
          <w:numId w:val="3"/>
        </w:numPr>
        <w:ind w:left="567"/>
        <w:rPr>
          <w:sz w:val="22"/>
        </w:rPr>
      </w:pPr>
      <w:r w:rsidRPr="00844A8B">
        <w:rPr>
          <w:sz w:val="22"/>
        </w:rPr>
        <w:t>Une représentation sous forme d’histogramme</w:t>
      </w:r>
      <w:r w:rsidR="008E007D" w:rsidRPr="00844A8B">
        <w:rPr>
          <w:sz w:val="22"/>
        </w:rPr>
        <w:t> : c</w:t>
      </w:r>
      <w:r w:rsidR="00DE19E8" w:rsidRPr="00844A8B">
        <w:rPr>
          <w:sz w:val="22"/>
        </w:rPr>
        <w:t xml:space="preserve">ependant, </w:t>
      </w:r>
      <w:r w:rsidR="008E007D" w:rsidRPr="00844A8B">
        <w:rPr>
          <w:sz w:val="22"/>
        </w:rPr>
        <w:t>cela</w:t>
      </w:r>
      <w:r w:rsidR="00DE19E8" w:rsidRPr="00844A8B">
        <w:rPr>
          <w:sz w:val="22"/>
        </w:rPr>
        <w:t xml:space="preserve"> ne nous permet de conclure quant à une différence significative entr</w:t>
      </w:r>
      <w:r w:rsidR="006E2F11" w:rsidRPr="00844A8B">
        <w:rPr>
          <w:sz w:val="22"/>
        </w:rPr>
        <w:t>e les deux couples de variables ; puisque les zones où évoluent nos histogramme restent assez proches.</w:t>
      </w:r>
    </w:p>
    <w:p w:rsidR="008E007D" w:rsidRPr="00844A8B" w:rsidRDefault="0079325C" w:rsidP="00844A8B">
      <w:pPr>
        <w:pStyle w:val="Paragraphedeliste"/>
        <w:numPr>
          <w:ilvl w:val="0"/>
          <w:numId w:val="3"/>
        </w:numPr>
        <w:ind w:left="567"/>
        <w:rPr>
          <w:sz w:val="22"/>
        </w:rPr>
      </w:pPr>
      <w:r w:rsidRPr="00844A8B">
        <w:rPr>
          <w:sz w:val="22"/>
        </w:rPr>
        <w:t>Une autre représentation possible est celle sous forme de « boite à moustache</w:t>
      </w:r>
      <w:r w:rsidR="00844A8B">
        <w:rPr>
          <w:sz w:val="22"/>
        </w:rPr>
        <w:t>s</w:t>
      </w:r>
      <w:r w:rsidRPr="00844A8B">
        <w:rPr>
          <w:sz w:val="22"/>
        </w:rPr>
        <w:t> »</w:t>
      </w:r>
      <w:r w:rsidR="008E007D" w:rsidRPr="00844A8B">
        <w:rPr>
          <w:sz w:val="22"/>
        </w:rPr>
        <w:t> : grâce à l</w:t>
      </w:r>
      <w:r w:rsidR="00413489" w:rsidRPr="00844A8B">
        <w:rPr>
          <w:sz w:val="22"/>
        </w:rPr>
        <w:t>a fonction « </w:t>
      </w:r>
      <w:r w:rsidR="00413489" w:rsidRPr="00844A8B">
        <w:rPr>
          <w:rFonts w:ascii="Arial" w:hAnsi="Arial" w:cs="Arial"/>
          <w:sz w:val="22"/>
        </w:rPr>
        <w:t>notch=T</w:t>
      </w:r>
      <w:r w:rsidR="00413489" w:rsidRPr="00844A8B">
        <w:rPr>
          <w:sz w:val="22"/>
        </w:rPr>
        <w:t> »</w:t>
      </w:r>
      <w:r w:rsidR="008E007D" w:rsidRPr="00844A8B">
        <w:rPr>
          <w:sz w:val="22"/>
        </w:rPr>
        <w:t xml:space="preserve">, nous pouvons </w:t>
      </w:r>
      <w:r w:rsidR="00413489" w:rsidRPr="00844A8B">
        <w:rPr>
          <w:sz w:val="22"/>
        </w:rPr>
        <w:t>faire figurer</w:t>
      </w:r>
      <w:r w:rsidR="008E007D" w:rsidRPr="00844A8B">
        <w:rPr>
          <w:sz w:val="22"/>
        </w:rPr>
        <w:t>,</w:t>
      </w:r>
      <w:r w:rsidR="00413489" w:rsidRPr="00844A8B">
        <w:rPr>
          <w:sz w:val="22"/>
        </w:rPr>
        <w:t xml:space="preserve"> sur les boites</w:t>
      </w:r>
      <w:r w:rsidR="008E007D" w:rsidRPr="00844A8B">
        <w:rPr>
          <w:sz w:val="22"/>
        </w:rPr>
        <w:t>,</w:t>
      </w:r>
      <w:r w:rsidR="00413489" w:rsidRPr="00844A8B">
        <w:rPr>
          <w:sz w:val="22"/>
        </w:rPr>
        <w:t xml:space="preserve"> les intervalles de confiances.</w:t>
      </w:r>
      <w:r w:rsidR="008E007D" w:rsidRPr="00844A8B">
        <w:rPr>
          <w:sz w:val="22"/>
        </w:rPr>
        <w:t xml:space="preserve"> </w:t>
      </w:r>
      <w:r w:rsidR="00413489" w:rsidRPr="00844A8B">
        <w:rPr>
          <w:sz w:val="22"/>
        </w:rPr>
        <w:t>Lorsque les 2 intervalles de confiance ne se chevauchent pas, alors la différence entre les 2 couples de variables est significative. Ce qui est le cas ici.</w:t>
      </w:r>
      <w:r w:rsidR="008E007D" w:rsidRPr="00844A8B">
        <w:rPr>
          <w:sz w:val="22"/>
        </w:rPr>
        <w:t xml:space="preserve"> </w:t>
      </w:r>
      <w:r w:rsidR="00413489" w:rsidRPr="00844A8B">
        <w:rPr>
          <w:sz w:val="22"/>
        </w:rPr>
        <w:t>Cette seconde représentation nous permet donc d’affirmer qu’il y a bien une différence significative de poids pour les bébés naissant d’une mère fumeuse et les bébés naissant d’une mère non-fumeuse.</w:t>
      </w:r>
      <w:r w:rsidR="00497774" w:rsidRPr="00844A8B">
        <w:rPr>
          <w:sz w:val="22"/>
        </w:rPr>
        <w:t xml:space="preserve"> </w:t>
      </w:r>
    </w:p>
    <w:p w:rsidR="006214F9" w:rsidRDefault="006214F9" w:rsidP="00844A8B">
      <w:pPr>
        <w:pStyle w:val="Paragraphedeliste"/>
        <w:keepNext/>
        <w:ind w:left="0"/>
        <w:jc w:val="center"/>
      </w:pPr>
      <w:r>
        <w:rPr>
          <w:noProof/>
          <w:sz w:val="20"/>
          <w:szCs w:val="20"/>
        </w:rPr>
        <w:drawing>
          <wp:inline distT="0" distB="0" distL="0" distR="0">
            <wp:extent cx="2381250" cy="20383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8800" b="5600"/>
                    <a:stretch>
                      <a:fillRect/>
                    </a:stretch>
                  </pic:blipFill>
                  <pic:spPr bwMode="auto">
                    <a:xfrm>
                      <a:off x="0" y="0"/>
                      <a:ext cx="2381250" cy="2038350"/>
                    </a:xfrm>
                    <a:prstGeom prst="rect">
                      <a:avLst/>
                    </a:prstGeom>
                    <a:noFill/>
                    <a:ln w="9525">
                      <a:noFill/>
                      <a:miter lim="800000"/>
                      <a:headEnd/>
                      <a:tailEnd/>
                    </a:ln>
                  </pic:spPr>
                </pic:pic>
              </a:graphicData>
            </a:graphic>
          </wp:inline>
        </w:drawing>
      </w:r>
    </w:p>
    <w:p w:rsidR="006214F9" w:rsidRPr="00BE0FBE" w:rsidRDefault="006214F9" w:rsidP="00844A8B">
      <w:pPr>
        <w:pStyle w:val="Lgende"/>
        <w:jc w:val="center"/>
        <w:rPr>
          <w:sz w:val="20"/>
          <w:szCs w:val="20"/>
        </w:rPr>
      </w:pPr>
      <w:r>
        <w:t xml:space="preserve">Figure </w:t>
      </w:r>
      <w:fldSimple w:instr=" SEQ Figure \* ARABIC ">
        <w:r w:rsidR="00053417">
          <w:rPr>
            <w:noProof/>
          </w:rPr>
          <w:t>1</w:t>
        </w:r>
      </w:fldSimple>
      <w:r w:rsidR="00952ED9">
        <w:t xml:space="preserve"> </w:t>
      </w:r>
    </w:p>
    <w:p w:rsidR="00413489" w:rsidRPr="00844A8B" w:rsidRDefault="00413489" w:rsidP="008E007D">
      <w:pPr>
        <w:ind w:firstLine="284"/>
        <w:rPr>
          <w:sz w:val="22"/>
        </w:rPr>
      </w:pPr>
      <w:r w:rsidRPr="00844A8B">
        <w:rPr>
          <w:sz w:val="22"/>
        </w:rPr>
        <w:t>Ainsi, lorsqu’une mère fume durant la grossesse, le poids du bébé sera inférieur à celui d’un bébé naissant d’une mère non-fumeuse.</w:t>
      </w:r>
    </w:p>
    <w:p w:rsidR="00DE19E8" w:rsidRPr="00844A8B" w:rsidRDefault="00DE19E8" w:rsidP="00DE19E8">
      <w:pPr>
        <w:rPr>
          <w:sz w:val="36"/>
          <w:szCs w:val="36"/>
        </w:rPr>
      </w:pPr>
    </w:p>
    <w:p w:rsidR="00413489" w:rsidRDefault="00413489" w:rsidP="00413489">
      <w:pPr>
        <w:pStyle w:val="Paragraphedeliste"/>
        <w:numPr>
          <w:ilvl w:val="0"/>
          <w:numId w:val="2"/>
        </w:numPr>
        <w:rPr>
          <w:i/>
          <w:sz w:val="22"/>
        </w:rPr>
      </w:pPr>
      <w:r>
        <w:rPr>
          <w:i/>
          <w:sz w:val="22"/>
        </w:rPr>
        <w:t>Est-ce qu’une mère qui fume durant la grossesse est encline à avoir un temps de gestation plus court qu’une mère qui ne fume pas</w:t>
      </w:r>
      <w:r w:rsidRPr="00C101D8">
        <w:rPr>
          <w:i/>
          <w:sz w:val="22"/>
        </w:rPr>
        <w:t> ?</w:t>
      </w:r>
    </w:p>
    <w:p w:rsidR="00413489" w:rsidRPr="00844A8B" w:rsidRDefault="00413489" w:rsidP="00413489">
      <w:pPr>
        <w:rPr>
          <w:sz w:val="16"/>
          <w:szCs w:val="16"/>
        </w:rPr>
      </w:pPr>
    </w:p>
    <w:p w:rsidR="00844A8B" w:rsidRDefault="00413489" w:rsidP="0057749D">
      <w:pPr>
        <w:ind w:firstLine="284"/>
        <w:rPr>
          <w:sz w:val="22"/>
        </w:rPr>
      </w:pPr>
      <w:r w:rsidRPr="00844A8B">
        <w:rPr>
          <w:sz w:val="22"/>
        </w:rPr>
        <w:t xml:space="preserve">Il s’agit également de comparer </w:t>
      </w:r>
      <w:r w:rsidRPr="00844A8B">
        <w:rPr>
          <w:b/>
          <w:sz w:val="22"/>
        </w:rPr>
        <w:t>une variable quantitative</w:t>
      </w:r>
      <w:r w:rsidRPr="00844A8B">
        <w:rPr>
          <w:sz w:val="22"/>
        </w:rPr>
        <w:t xml:space="preserve"> (temps de gestation) et </w:t>
      </w:r>
      <w:r w:rsidRPr="00844A8B">
        <w:rPr>
          <w:b/>
          <w:sz w:val="22"/>
        </w:rPr>
        <w:t>une variable qualitative</w:t>
      </w:r>
      <w:r w:rsidRPr="00844A8B">
        <w:rPr>
          <w:sz w:val="22"/>
        </w:rPr>
        <w:t xml:space="preserve"> (mère fume</w:t>
      </w:r>
      <w:r w:rsidR="0057749D" w:rsidRPr="00844A8B">
        <w:rPr>
          <w:sz w:val="22"/>
        </w:rPr>
        <w:t>use durant la grossesse) ;</w:t>
      </w:r>
      <w:r w:rsidRPr="00844A8B">
        <w:rPr>
          <w:sz w:val="22"/>
        </w:rPr>
        <w:t xml:space="preserve"> </w:t>
      </w:r>
      <w:r w:rsidR="0057749D" w:rsidRPr="00844A8B">
        <w:rPr>
          <w:sz w:val="22"/>
        </w:rPr>
        <w:t>nous</w:t>
      </w:r>
      <w:r w:rsidRPr="00844A8B">
        <w:rPr>
          <w:sz w:val="22"/>
        </w:rPr>
        <w:t xml:space="preserve"> cher</w:t>
      </w:r>
      <w:r w:rsidR="0057749D" w:rsidRPr="00844A8B">
        <w:rPr>
          <w:sz w:val="22"/>
        </w:rPr>
        <w:t>chons</w:t>
      </w:r>
      <w:r w:rsidRPr="00844A8B">
        <w:rPr>
          <w:sz w:val="22"/>
        </w:rPr>
        <w:t xml:space="preserve"> à décrire les liens entre les deux couples de variables.</w:t>
      </w:r>
    </w:p>
    <w:p w:rsidR="00EB5398" w:rsidRPr="00844A8B" w:rsidRDefault="00413489" w:rsidP="0057749D">
      <w:pPr>
        <w:ind w:firstLine="284"/>
        <w:rPr>
          <w:sz w:val="22"/>
        </w:rPr>
      </w:pPr>
      <w:r w:rsidRPr="00844A8B">
        <w:rPr>
          <w:sz w:val="22"/>
        </w:rPr>
        <w:t>Nous optons donc pour le mode de représentation en boit</w:t>
      </w:r>
      <w:r w:rsidR="0057749D" w:rsidRPr="00844A8B">
        <w:rPr>
          <w:sz w:val="22"/>
        </w:rPr>
        <w:t>e à moustaches, plus comparatif, comme vu précédemment.</w:t>
      </w:r>
    </w:p>
    <w:p w:rsidR="006214F9" w:rsidRDefault="006214F9" w:rsidP="00844A8B">
      <w:pPr>
        <w:jc w:val="center"/>
        <w:rPr>
          <w:rFonts w:ascii="Arial" w:eastAsiaTheme="minorHAnsi" w:hAnsi="Arial" w:cs="Arial"/>
          <w:sz w:val="20"/>
          <w:szCs w:val="20"/>
          <w:lang w:eastAsia="en-US"/>
        </w:rPr>
      </w:pPr>
      <w:r>
        <w:rPr>
          <w:rFonts w:ascii="Arial" w:eastAsiaTheme="minorHAnsi" w:hAnsi="Arial" w:cs="Arial"/>
          <w:noProof/>
          <w:sz w:val="20"/>
          <w:szCs w:val="20"/>
        </w:rPr>
        <w:lastRenderedPageBreak/>
        <w:drawing>
          <wp:inline distT="0" distB="0" distL="0" distR="0">
            <wp:extent cx="2276475" cy="2000250"/>
            <wp:effectExtent l="19050" t="0" r="952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7531" b="4603"/>
                    <a:stretch>
                      <a:fillRect/>
                    </a:stretch>
                  </pic:blipFill>
                  <pic:spPr bwMode="auto">
                    <a:xfrm>
                      <a:off x="0" y="0"/>
                      <a:ext cx="2276475" cy="2000250"/>
                    </a:xfrm>
                    <a:prstGeom prst="rect">
                      <a:avLst/>
                    </a:prstGeom>
                    <a:noFill/>
                    <a:ln w="9525">
                      <a:noFill/>
                      <a:miter lim="800000"/>
                      <a:headEnd/>
                      <a:tailEnd/>
                    </a:ln>
                  </pic:spPr>
                </pic:pic>
              </a:graphicData>
            </a:graphic>
          </wp:inline>
        </w:drawing>
      </w:r>
    </w:p>
    <w:p w:rsidR="00FD3ABB" w:rsidRPr="00BE0FBE" w:rsidRDefault="00FD3ABB" w:rsidP="00FD3ABB">
      <w:pPr>
        <w:pStyle w:val="Lgende"/>
        <w:jc w:val="center"/>
        <w:rPr>
          <w:sz w:val="20"/>
          <w:szCs w:val="20"/>
        </w:rPr>
      </w:pPr>
      <w:r>
        <w:t xml:space="preserve">Figure </w:t>
      </w:r>
      <w:fldSimple w:instr=" SEQ Figure \* ARABIC ">
        <w:r>
          <w:rPr>
            <w:noProof/>
          </w:rPr>
          <w:t>2</w:t>
        </w:r>
      </w:fldSimple>
      <w:r>
        <w:t xml:space="preserve"> </w:t>
      </w:r>
    </w:p>
    <w:p w:rsidR="0057749D" w:rsidRDefault="00EB5398" w:rsidP="0057749D">
      <w:pPr>
        <w:ind w:firstLine="284"/>
        <w:rPr>
          <w:sz w:val="22"/>
        </w:rPr>
      </w:pPr>
      <w:r w:rsidRPr="00844A8B">
        <w:rPr>
          <w:sz w:val="22"/>
        </w:rPr>
        <w:t>Ce</w:t>
      </w:r>
      <w:r w:rsidR="0057749D" w:rsidRPr="00844A8B">
        <w:rPr>
          <w:sz w:val="22"/>
        </w:rPr>
        <w:t>s</w:t>
      </w:r>
      <w:r w:rsidRPr="00844A8B">
        <w:rPr>
          <w:sz w:val="22"/>
        </w:rPr>
        <w:t xml:space="preserve"> résultats </w:t>
      </w:r>
      <w:r w:rsidR="00FD3ABB">
        <w:rPr>
          <w:sz w:val="22"/>
        </w:rPr>
        <w:t xml:space="preserve">ne </w:t>
      </w:r>
      <w:r w:rsidRPr="00844A8B">
        <w:rPr>
          <w:sz w:val="22"/>
        </w:rPr>
        <w:t>nous permet</w:t>
      </w:r>
      <w:r w:rsidR="0057749D" w:rsidRPr="00844A8B">
        <w:rPr>
          <w:sz w:val="22"/>
        </w:rPr>
        <w:t>tent</w:t>
      </w:r>
      <w:r w:rsidRPr="00844A8B">
        <w:rPr>
          <w:sz w:val="22"/>
        </w:rPr>
        <w:t xml:space="preserve"> </w:t>
      </w:r>
      <w:r w:rsidR="00FD3ABB">
        <w:rPr>
          <w:sz w:val="22"/>
        </w:rPr>
        <w:t xml:space="preserve">pas </w:t>
      </w:r>
      <w:r w:rsidRPr="00844A8B">
        <w:rPr>
          <w:sz w:val="22"/>
        </w:rPr>
        <w:t xml:space="preserve">d’observer une </w:t>
      </w:r>
      <w:r w:rsidR="00FD3ABB">
        <w:rPr>
          <w:sz w:val="22"/>
        </w:rPr>
        <w:t xml:space="preserve">différence réellement </w:t>
      </w:r>
      <w:r w:rsidR="0057749D" w:rsidRPr="00844A8B">
        <w:rPr>
          <w:sz w:val="22"/>
        </w:rPr>
        <w:t>significative cette fois</w:t>
      </w:r>
      <w:r w:rsidRPr="00844A8B">
        <w:rPr>
          <w:sz w:val="22"/>
        </w:rPr>
        <w:t>, entre le temps de gestation d’une mère fumeuse durant la grossesse et d’une mère non fumeuse.</w:t>
      </w:r>
    </w:p>
    <w:p w:rsidR="00FD3ABB" w:rsidRPr="008E007D" w:rsidRDefault="00FD3ABB" w:rsidP="0057749D">
      <w:pPr>
        <w:ind w:firstLine="284"/>
        <w:rPr>
          <w:sz w:val="20"/>
          <w:szCs w:val="20"/>
        </w:rPr>
      </w:pPr>
    </w:p>
    <w:p w:rsidR="00EB5398" w:rsidRPr="00FD3ABB" w:rsidRDefault="00EB5398" w:rsidP="0057749D">
      <w:pPr>
        <w:ind w:firstLine="284"/>
        <w:rPr>
          <w:sz w:val="22"/>
        </w:rPr>
      </w:pPr>
      <w:r w:rsidRPr="00FD3ABB">
        <w:rPr>
          <w:sz w:val="22"/>
        </w:rPr>
        <w:t xml:space="preserve">Ainsi, </w:t>
      </w:r>
      <w:r w:rsidR="00FD3ABB">
        <w:rPr>
          <w:sz w:val="22"/>
        </w:rPr>
        <w:t xml:space="preserve">nous ne pouvons pas affirmer que </w:t>
      </w:r>
      <w:r w:rsidRPr="00FD3ABB">
        <w:rPr>
          <w:sz w:val="22"/>
        </w:rPr>
        <w:t>lorsqu’une mère fume durant la grossesse, le temps de gestation sera inférieur à celui d’une mère non-fumeuse.</w:t>
      </w:r>
    </w:p>
    <w:p w:rsidR="00EB5398" w:rsidRPr="00BE0FBE" w:rsidRDefault="00EB5398" w:rsidP="00DE19E8">
      <w:pPr>
        <w:rPr>
          <w:rFonts w:ascii="Arial" w:eastAsiaTheme="minorHAnsi" w:hAnsi="Arial" w:cs="Arial"/>
          <w:sz w:val="20"/>
          <w:szCs w:val="20"/>
          <w:lang w:eastAsia="en-US"/>
        </w:rPr>
      </w:pPr>
    </w:p>
    <w:p w:rsidR="00EB5398" w:rsidRPr="00BE0FBE" w:rsidRDefault="00EB5398" w:rsidP="00DE19E8">
      <w:pPr>
        <w:rPr>
          <w:rFonts w:ascii="Arial" w:eastAsiaTheme="minorHAnsi" w:hAnsi="Arial" w:cs="Arial"/>
          <w:sz w:val="20"/>
          <w:szCs w:val="20"/>
          <w:lang w:eastAsia="en-US"/>
        </w:rPr>
      </w:pPr>
    </w:p>
    <w:p w:rsidR="00EB5398" w:rsidRDefault="00EB5398" w:rsidP="00EB5398">
      <w:pPr>
        <w:pStyle w:val="Paragraphedeliste"/>
        <w:numPr>
          <w:ilvl w:val="0"/>
          <w:numId w:val="2"/>
        </w:numPr>
        <w:rPr>
          <w:i/>
          <w:sz w:val="22"/>
        </w:rPr>
      </w:pPr>
      <w:r>
        <w:rPr>
          <w:i/>
          <w:sz w:val="22"/>
        </w:rPr>
        <w:t>Le niveau d’étude a-t-il une influence sur le fait que la mère soit fumeuse ?</w:t>
      </w:r>
    </w:p>
    <w:p w:rsidR="00EB5398" w:rsidRPr="00EB5398" w:rsidRDefault="00EB5398" w:rsidP="00EB5398">
      <w:pPr>
        <w:ind w:left="360"/>
        <w:rPr>
          <w:i/>
          <w:sz w:val="22"/>
        </w:rPr>
      </w:pPr>
    </w:p>
    <w:p w:rsidR="00EB5398" w:rsidRPr="00FD3ABB" w:rsidRDefault="00EB5398" w:rsidP="0057749D">
      <w:pPr>
        <w:ind w:firstLine="284"/>
        <w:rPr>
          <w:sz w:val="22"/>
        </w:rPr>
      </w:pPr>
      <w:r w:rsidRPr="00FD3ABB">
        <w:rPr>
          <w:sz w:val="22"/>
        </w:rPr>
        <w:t xml:space="preserve">Il s’agit cette dois-ce de comparer </w:t>
      </w:r>
      <w:r w:rsidRPr="00FD3ABB">
        <w:rPr>
          <w:b/>
          <w:sz w:val="22"/>
        </w:rPr>
        <w:t>deux variables qualitatives</w:t>
      </w:r>
      <w:r w:rsidRPr="00FD3ABB">
        <w:rPr>
          <w:sz w:val="22"/>
        </w:rPr>
        <w:t> : si la mère est fumeuse, et le niveau d’étude de la mère.</w:t>
      </w:r>
    </w:p>
    <w:p w:rsidR="005C2119" w:rsidRPr="00FD3ABB" w:rsidRDefault="005E51CA" w:rsidP="0057749D">
      <w:pPr>
        <w:ind w:firstLine="284"/>
        <w:rPr>
          <w:sz w:val="22"/>
        </w:rPr>
      </w:pPr>
      <w:r w:rsidRPr="00FD3ABB">
        <w:rPr>
          <w:sz w:val="22"/>
        </w:rPr>
        <w:t>Pour cela, nous commençons par réaliser un tableau de contingence, croisant ainsi les modalités d’une variable avec celles de l’</w:t>
      </w:r>
      <w:r w:rsidR="005D25BE" w:rsidRPr="00FD3ABB">
        <w:rPr>
          <w:sz w:val="22"/>
        </w:rPr>
        <w:t>autre (en colonne</w:t>
      </w:r>
      <w:r w:rsidR="00FD03E3" w:rsidRPr="00FD3ABB">
        <w:rPr>
          <w:sz w:val="22"/>
        </w:rPr>
        <w:t>,</w:t>
      </w:r>
      <w:r w:rsidR="005D25BE" w:rsidRPr="00FD3ABB">
        <w:rPr>
          <w:sz w:val="22"/>
        </w:rPr>
        <w:t xml:space="preserve"> si la mère est fumeuse</w:t>
      </w:r>
      <w:r w:rsidR="00FD03E3" w:rsidRPr="00FD3ABB">
        <w:rPr>
          <w:sz w:val="22"/>
        </w:rPr>
        <w:t> ;</w:t>
      </w:r>
      <w:r w:rsidR="005D25BE" w:rsidRPr="00FD3ABB">
        <w:rPr>
          <w:sz w:val="22"/>
        </w:rPr>
        <w:t xml:space="preserve"> en ligne</w:t>
      </w:r>
      <w:r w:rsidR="00FD03E3" w:rsidRPr="00FD3ABB">
        <w:rPr>
          <w:sz w:val="22"/>
        </w:rPr>
        <w:t>,</w:t>
      </w:r>
      <w:r w:rsidR="005D25BE" w:rsidRPr="00FD3ABB">
        <w:rPr>
          <w:sz w:val="22"/>
        </w:rPr>
        <w:t xml:space="preserve"> le niveau d’étude). Puis, nous faisons la somme de chaque ligne, pour ensuite diviser chaque cellule par le somme de la ligne correspondante. Ce</w:t>
      </w:r>
      <w:r w:rsidR="00A16E33" w:rsidRPr="00FD3ABB">
        <w:rPr>
          <w:sz w:val="22"/>
        </w:rPr>
        <w:t>s</w:t>
      </w:r>
      <w:r w:rsidR="005D25BE" w:rsidRPr="00FD3ABB">
        <w:rPr>
          <w:sz w:val="22"/>
        </w:rPr>
        <w:t xml:space="preserve"> calcul</w:t>
      </w:r>
      <w:r w:rsidR="00A16E33" w:rsidRPr="00FD3ABB">
        <w:rPr>
          <w:sz w:val="22"/>
        </w:rPr>
        <w:t>s</w:t>
      </w:r>
      <w:r w:rsidR="005D25BE" w:rsidRPr="00FD3ABB">
        <w:rPr>
          <w:sz w:val="22"/>
        </w:rPr>
        <w:t xml:space="preserve"> nous permet</w:t>
      </w:r>
      <w:r w:rsidR="00A16E33" w:rsidRPr="00FD3ABB">
        <w:rPr>
          <w:sz w:val="22"/>
        </w:rPr>
        <w:t>tent</w:t>
      </w:r>
      <w:r w:rsidR="005D25BE" w:rsidRPr="00FD3ABB">
        <w:rPr>
          <w:sz w:val="22"/>
        </w:rPr>
        <w:t xml:space="preserve"> alors </w:t>
      </w:r>
      <w:r w:rsidR="00A16E33" w:rsidRPr="00FD3ABB">
        <w:rPr>
          <w:sz w:val="22"/>
        </w:rPr>
        <w:t>d’observer l’</w:t>
      </w:r>
      <w:r w:rsidR="00A16E33" w:rsidRPr="00FD3ABB">
        <w:rPr>
          <w:b/>
          <w:sz w:val="22"/>
        </w:rPr>
        <w:t>influence</w:t>
      </w:r>
      <w:r w:rsidR="00A16E33" w:rsidRPr="00FD3ABB">
        <w:rPr>
          <w:sz w:val="22"/>
        </w:rPr>
        <w:t xml:space="preserve"> qu’a le niveau d’étude sur le fait que la mère soit fumeuse.</w:t>
      </w:r>
    </w:p>
    <w:p w:rsidR="00FD03E3" w:rsidRDefault="00FD3ABB" w:rsidP="0057749D">
      <w:pPr>
        <w:ind w:firstLine="284"/>
        <w:rPr>
          <w:sz w:val="20"/>
          <w:szCs w:val="20"/>
        </w:rPr>
      </w:pPr>
      <w:r>
        <w:rPr>
          <w:noProof/>
          <w:sz w:val="20"/>
          <w:szCs w:val="20"/>
        </w:rPr>
        <w:drawing>
          <wp:anchor distT="0" distB="0" distL="114300" distR="114300" simplePos="0" relativeHeight="251662336" behindDoc="1" locked="0" layoutInCell="1" allowOverlap="1">
            <wp:simplePos x="0" y="0"/>
            <wp:positionH relativeFrom="column">
              <wp:posOffset>-156845</wp:posOffset>
            </wp:positionH>
            <wp:positionV relativeFrom="paragraph">
              <wp:posOffset>150495</wp:posOffset>
            </wp:positionV>
            <wp:extent cx="6010275" cy="1371600"/>
            <wp:effectExtent l="0" t="0" r="0"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4628" t="6522" r="7273" b="5072"/>
                    <a:stretch>
                      <a:fillRect/>
                    </a:stretch>
                  </pic:blipFill>
                  <pic:spPr bwMode="auto">
                    <a:xfrm>
                      <a:off x="0" y="0"/>
                      <a:ext cx="6010275" cy="1371600"/>
                    </a:xfrm>
                    <a:prstGeom prst="rect">
                      <a:avLst/>
                    </a:prstGeom>
                    <a:noFill/>
                    <a:ln w="9525">
                      <a:noFill/>
                      <a:miter lim="800000"/>
                      <a:headEnd/>
                      <a:tailEnd/>
                    </a:ln>
                  </pic:spPr>
                </pic:pic>
              </a:graphicData>
            </a:graphic>
          </wp:anchor>
        </w:drawing>
      </w:r>
    </w:p>
    <w:p w:rsidR="00FD3ABB" w:rsidRPr="00BE0FBE" w:rsidRDefault="002B16AF" w:rsidP="00FD3ABB">
      <w:pPr>
        <w:pStyle w:val="Lgende"/>
        <w:jc w:val="center"/>
        <w:rPr>
          <w:sz w:val="20"/>
          <w:szCs w:val="20"/>
        </w:rPr>
      </w:pPr>
      <w:r w:rsidRPr="002B16AF">
        <w:rPr>
          <w:noProof/>
          <w:sz w:val="24"/>
          <w:szCs w:val="20"/>
        </w:rPr>
        <w:pict>
          <v:group id="_x0000_s1028" style="position:absolute;left:0;text-align:left;margin-left:95.65pt;margin-top:62.6pt;width:208.5pt;height:0;z-index:251661312" coordorigin="3360,2550" coordsize="4170,0">
            <v:shapetype id="_x0000_t32" coordsize="21600,21600" o:spt="32" o:oned="t" path="m,l21600,21600e" filled="f">
              <v:path arrowok="t" fillok="f" o:connecttype="none"/>
              <o:lock v:ext="edit" shapetype="t"/>
            </v:shapetype>
            <v:shape id="_x0000_s1026" type="#_x0000_t32" style="position:absolute;left:3360;top:2550;width:360;height:0" o:connectortype="straight" strokecolor="#943634 [2405]" strokeweight="3pt">
              <v:stroke endarrow="block"/>
              <v:shadow type="perspective" color="#622423 [1605]" opacity=".5" offset="1pt" offset2="-1pt"/>
            </v:shape>
            <v:shape id="_x0000_s1027" type="#_x0000_t32" style="position:absolute;left:7170;top:2550;width:360;height:0" o:connectortype="straight" strokecolor="#943634 [2405]" strokeweight="3pt">
              <v:stroke endarrow="block"/>
              <v:shadow type="perspective" color="#622423 [1605]" opacity=".5" offset="1pt" offset2="-1pt"/>
            </v:shape>
          </v:group>
        </w:pict>
      </w:r>
      <w:r w:rsidR="00FD3ABB">
        <w:t xml:space="preserve"> Transformation du tableau de contingence</w:t>
      </w:r>
    </w:p>
    <w:p w:rsidR="001E09C9" w:rsidRPr="00FD3ABB" w:rsidRDefault="006214F9" w:rsidP="006214F9">
      <w:pPr>
        <w:ind w:firstLine="284"/>
        <w:rPr>
          <w:sz w:val="22"/>
        </w:rPr>
      </w:pPr>
      <w:r w:rsidRPr="00FD3ABB">
        <w:rPr>
          <w:sz w:val="22"/>
        </w:rPr>
        <w:t xml:space="preserve">Ces résultats nous permettent d’observer une différence significative après 4 ans d’études. Les femmes fument moins quand elles ont un </w:t>
      </w:r>
      <w:r w:rsidR="00FD3ABB">
        <w:rPr>
          <w:sz w:val="22"/>
        </w:rPr>
        <w:t xml:space="preserve">certain </w:t>
      </w:r>
      <w:r w:rsidRPr="00FD3ABB">
        <w:rPr>
          <w:sz w:val="22"/>
        </w:rPr>
        <w:t>haut niveau d’étude alors qu’en dessous de 3 ans d’étude, il y a plus de femmes qui fument. La première et la dernière ligne du tableau ne sont pas à prendre en compte à cause du faible nombre de personnes étudiées.</w:t>
      </w:r>
    </w:p>
    <w:p w:rsidR="006214F9" w:rsidRDefault="006214F9" w:rsidP="001E09C9">
      <w:pPr>
        <w:rPr>
          <w:sz w:val="20"/>
          <w:szCs w:val="20"/>
        </w:rPr>
      </w:pPr>
    </w:p>
    <w:p w:rsidR="006214F9" w:rsidRPr="00FD3ABB" w:rsidRDefault="006214F9" w:rsidP="00FD3ABB">
      <w:pPr>
        <w:ind w:firstLine="284"/>
        <w:rPr>
          <w:sz w:val="22"/>
        </w:rPr>
      </w:pPr>
      <w:r w:rsidRPr="00FD3ABB">
        <w:rPr>
          <w:sz w:val="22"/>
        </w:rPr>
        <w:t>Ainsi, le niveau d’étude a une influence sur le fait que la mère soit fumeuse ou non.</w:t>
      </w:r>
    </w:p>
    <w:p w:rsidR="00D16DFB" w:rsidRDefault="00D16DFB" w:rsidP="001E09C9">
      <w:pPr>
        <w:rPr>
          <w:color w:val="FF0000"/>
          <w:sz w:val="20"/>
          <w:szCs w:val="20"/>
        </w:rPr>
      </w:pPr>
    </w:p>
    <w:p w:rsidR="00FD3ABB" w:rsidRDefault="00FD3ABB" w:rsidP="001E09C9">
      <w:pPr>
        <w:rPr>
          <w:color w:val="FF0000"/>
          <w:sz w:val="20"/>
          <w:szCs w:val="20"/>
        </w:rPr>
      </w:pPr>
    </w:p>
    <w:p w:rsidR="00D16DFB" w:rsidRPr="00FD3ABB" w:rsidRDefault="00D16DFB" w:rsidP="00D16DFB">
      <w:pPr>
        <w:rPr>
          <w:color w:val="632423" w:themeColor="accent2" w:themeShade="80"/>
          <w:sz w:val="22"/>
        </w:rPr>
      </w:pPr>
      <w:r w:rsidRPr="00FD3ABB">
        <w:rPr>
          <w:b/>
          <w:i/>
          <w:color w:val="632423" w:themeColor="accent2" w:themeShade="80"/>
          <w:sz w:val="22"/>
        </w:rPr>
        <w:t xml:space="preserve">Conclusion : </w:t>
      </w:r>
      <w:r w:rsidRPr="00FD3ABB">
        <w:rPr>
          <w:i/>
          <w:color w:val="632423" w:themeColor="accent2" w:themeShade="80"/>
          <w:sz w:val="22"/>
        </w:rPr>
        <w:t>Rapprochement avec l’article extrait de l’édition du New York Times (1</w:t>
      </w:r>
      <w:r w:rsidRPr="00FD3ABB">
        <w:rPr>
          <w:i/>
          <w:color w:val="632423" w:themeColor="accent2" w:themeShade="80"/>
          <w:sz w:val="22"/>
          <w:vertAlign w:val="superscript"/>
        </w:rPr>
        <w:t>er</w:t>
      </w:r>
      <w:r w:rsidRPr="00FD3ABB">
        <w:rPr>
          <w:i/>
          <w:color w:val="632423" w:themeColor="accent2" w:themeShade="80"/>
          <w:sz w:val="22"/>
        </w:rPr>
        <w:t xml:space="preserve"> mars 1995)</w:t>
      </w:r>
      <w:r w:rsidRPr="00FD3ABB">
        <w:rPr>
          <w:color w:val="632423" w:themeColor="accent2" w:themeShade="80"/>
          <w:sz w:val="22"/>
        </w:rPr>
        <w:t> </w:t>
      </w:r>
    </w:p>
    <w:p w:rsidR="00D16DFB" w:rsidRPr="00FD3ABB" w:rsidRDefault="00D16DFB" w:rsidP="00FD3ABB">
      <w:pPr>
        <w:pStyle w:val="Paragraphedeliste"/>
        <w:numPr>
          <w:ilvl w:val="0"/>
          <w:numId w:val="3"/>
        </w:numPr>
        <w:ind w:left="567"/>
        <w:rPr>
          <w:sz w:val="22"/>
          <w:lang w:val="en-US"/>
        </w:rPr>
      </w:pPr>
      <w:r w:rsidRPr="00FD3ABB">
        <w:rPr>
          <w:sz w:val="22"/>
          <w:lang w:val="en-US"/>
        </w:rPr>
        <w:t>« low birth weights per se are the cause of the high infant</w:t>
      </w:r>
      <w:r w:rsidR="00BE0FBE" w:rsidRPr="00FD3ABB">
        <w:rPr>
          <w:sz w:val="22"/>
          <w:lang w:val="en-US"/>
        </w:rPr>
        <w:t xml:space="preserve"> mortality</w:t>
      </w:r>
      <w:r w:rsidRPr="00FD3ABB">
        <w:rPr>
          <w:sz w:val="22"/>
          <w:lang w:val="en-US"/>
        </w:rPr>
        <w:t xml:space="preserve"> rate in the United Sates »</w:t>
      </w:r>
    </w:p>
    <w:p w:rsidR="00D16DFB" w:rsidRPr="00FD3ABB" w:rsidRDefault="00D16DFB" w:rsidP="00FD3ABB">
      <w:pPr>
        <w:pStyle w:val="Paragraphedeliste"/>
        <w:numPr>
          <w:ilvl w:val="0"/>
          <w:numId w:val="3"/>
        </w:numPr>
        <w:ind w:left="567"/>
        <w:rPr>
          <w:sz w:val="22"/>
          <w:lang w:val="en-US"/>
        </w:rPr>
      </w:pPr>
      <w:r w:rsidRPr="00FD3ABB">
        <w:rPr>
          <w:sz w:val="22"/>
          <w:lang w:val="en-US"/>
        </w:rPr>
        <w:t>« being born too soon […] is the main underlying cause of stillbirth and infant deaths within four weeks of birth »</w:t>
      </w:r>
    </w:p>
    <w:p w:rsidR="00D16DFB" w:rsidRPr="00FD3ABB" w:rsidRDefault="004408A3" w:rsidP="007C3828">
      <w:pPr>
        <w:ind w:firstLine="284"/>
        <w:rPr>
          <w:sz w:val="22"/>
        </w:rPr>
      </w:pPr>
      <w:r>
        <w:rPr>
          <w:sz w:val="22"/>
        </w:rPr>
        <w:t>Or, notre première</w:t>
      </w:r>
      <w:r w:rsidR="007C3828" w:rsidRPr="00FD3ABB">
        <w:rPr>
          <w:sz w:val="22"/>
        </w:rPr>
        <w:t xml:space="preserve"> é</w:t>
      </w:r>
      <w:r>
        <w:rPr>
          <w:sz w:val="22"/>
        </w:rPr>
        <w:t>tude comparative a</w:t>
      </w:r>
      <w:r w:rsidR="007C3828" w:rsidRPr="00FD3ABB">
        <w:rPr>
          <w:sz w:val="22"/>
        </w:rPr>
        <w:t xml:space="preserve"> montré que si la mère fumait durant la grossesse, le poids du bébé </w:t>
      </w:r>
      <w:r w:rsidR="00160A89">
        <w:rPr>
          <w:sz w:val="22"/>
        </w:rPr>
        <w:t>serait inférieur à celui</w:t>
      </w:r>
      <w:r w:rsidR="007C3828" w:rsidRPr="00FD3ABB">
        <w:rPr>
          <w:sz w:val="22"/>
        </w:rPr>
        <w:t xml:space="preserve"> obtenus pour une mère non fumeuse.</w:t>
      </w:r>
      <w:r w:rsidR="004D156F" w:rsidRPr="00FD3ABB">
        <w:rPr>
          <w:sz w:val="22"/>
        </w:rPr>
        <w:t xml:space="preserve"> Fumer durant la grossesse nuira</w:t>
      </w:r>
      <w:r w:rsidR="00160A89">
        <w:rPr>
          <w:sz w:val="22"/>
        </w:rPr>
        <w:t xml:space="preserve">it </w:t>
      </w:r>
      <w:r w:rsidR="00160A89">
        <w:rPr>
          <w:sz w:val="22"/>
        </w:rPr>
        <w:lastRenderedPageBreak/>
        <w:t>donc à la survie de l’enfant car un faible poids de naissance serait la cause d’un taux élevé de mortalité infantile aux Etats-Unis.</w:t>
      </w:r>
    </w:p>
    <w:p w:rsidR="007C3828" w:rsidRDefault="007C3828" w:rsidP="007C3828">
      <w:pPr>
        <w:ind w:firstLine="284"/>
        <w:rPr>
          <w:sz w:val="22"/>
        </w:rPr>
      </w:pPr>
      <w:r w:rsidRPr="00FD3ABB">
        <w:rPr>
          <w:sz w:val="22"/>
          <w:lang w:val="en-US"/>
        </w:rPr>
        <w:t xml:space="preserve">Cependant, </w:t>
      </w:r>
      <w:r w:rsidR="004D156F" w:rsidRPr="00FD3ABB">
        <w:rPr>
          <w:sz w:val="22"/>
          <w:lang w:val="en-US"/>
        </w:rPr>
        <w:t>le texte souligne le paradoxe suivant : « the babies of smoking mother had a higher survival rate</w:t>
      </w:r>
      <w:r w:rsidR="00497774" w:rsidRPr="00FD3ABB">
        <w:rPr>
          <w:sz w:val="22"/>
          <w:lang w:val="en-US"/>
        </w:rPr>
        <w:t xml:space="preserve"> […],</w:t>
      </w:r>
      <w:r w:rsidR="004D156F" w:rsidRPr="00FD3ABB">
        <w:rPr>
          <w:sz w:val="22"/>
          <w:lang w:val="en-US"/>
        </w:rPr>
        <w:t> </w:t>
      </w:r>
      <w:r w:rsidR="00497774" w:rsidRPr="00FD3ABB">
        <w:rPr>
          <w:sz w:val="22"/>
          <w:lang w:val="en-US"/>
        </w:rPr>
        <w:t xml:space="preserve">smoking interferes with weight gain, it does not shorten pregnancy </w:t>
      </w:r>
      <w:r w:rsidR="004D156F" w:rsidRPr="00FD3ABB">
        <w:rPr>
          <w:sz w:val="22"/>
          <w:lang w:val="en-US"/>
        </w:rPr>
        <w:t>»</w:t>
      </w:r>
      <w:r w:rsidR="00497774" w:rsidRPr="00FD3ABB">
        <w:rPr>
          <w:sz w:val="22"/>
          <w:lang w:val="en-US"/>
        </w:rPr>
        <w:t>.</w:t>
      </w:r>
      <w:r w:rsidR="00F321F5" w:rsidRPr="00FD3ABB">
        <w:rPr>
          <w:sz w:val="22"/>
          <w:lang w:val="en-US"/>
        </w:rPr>
        <w:t xml:space="preserve"> </w:t>
      </w:r>
      <w:r w:rsidR="00F321F5" w:rsidRPr="00FD3ABB">
        <w:rPr>
          <w:sz w:val="22"/>
        </w:rPr>
        <w:t>Une mère fumeuse donnerait alors naissance à un bébé au poids plus faible, mais n’aurait pas une grossesse plus courte.</w:t>
      </w:r>
      <w:r w:rsidR="00160A89">
        <w:rPr>
          <w:sz w:val="22"/>
        </w:rPr>
        <w:t xml:space="preserve"> Ce qui se rapproche des résultats obtenus dans la question 2, puisque nous n’avons pas réussi à observer que le temps de gestation serait plus court pour une mère fumeuse.</w:t>
      </w:r>
    </w:p>
    <w:p w:rsidR="00160A89" w:rsidRPr="00FD3ABB" w:rsidRDefault="00160A89" w:rsidP="007C3828">
      <w:pPr>
        <w:ind w:firstLine="284"/>
        <w:rPr>
          <w:sz w:val="22"/>
        </w:rPr>
      </w:pPr>
      <w:r>
        <w:rPr>
          <w:sz w:val="22"/>
        </w:rPr>
        <w:t>En conclusion, nos résultats confirmerai</w:t>
      </w:r>
      <w:r w:rsidR="004408A3">
        <w:rPr>
          <w:sz w:val="22"/>
        </w:rPr>
        <w:t>en</w:t>
      </w:r>
      <w:r>
        <w:rPr>
          <w:sz w:val="22"/>
        </w:rPr>
        <w:t>t les données de l’article.</w:t>
      </w:r>
    </w:p>
    <w:p w:rsidR="008E68EB" w:rsidRPr="00F321F5" w:rsidRDefault="008E68EB" w:rsidP="001E09C9">
      <w:pPr>
        <w:rPr>
          <w:color w:val="FF0000"/>
          <w:sz w:val="20"/>
          <w:szCs w:val="20"/>
        </w:rPr>
      </w:pPr>
    </w:p>
    <w:p w:rsidR="008E68EB" w:rsidRPr="00F321F5" w:rsidRDefault="008E68EB" w:rsidP="001E09C9">
      <w:pPr>
        <w:rPr>
          <w:color w:val="FF0000"/>
          <w:sz w:val="20"/>
          <w:szCs w:val="20"/>
        </w:rPr>
      </w:pPr>
    </w:p>
    <w:p w:rsidR="008E68EB" w:rsidRPr="002A5219" w:rsidRDefault="008E68EB" w:rsidP="008E68EB">
      <w:pPr>
        <w:rPr>
          <w:rStyle w:val="Rfrenceintense"/>
          <w:color w:val="632423" w:themeColor="accent2" w:themeShade="80"/>
        </w:rPr>
      </w:pPr>
      <w:r>
        <w:rPr>
          <w:rStyle w:val="Rfrenceintense"/>
          <w:color w:val="632423" w:themeColor="accent2" w:themeShade="80"/>
        </w:rPr>
        <w:t xml:space="preserve">Exercice II : </w:t>
      </w:r>
      <w:r w:rsidR="002434AD">
        <w:rPr>
          <w:rStyle w:val="Rfrenceintense"/>
          <w:color w:val="632423" w:themeColor="accent2" w:themeShade="80"/>
        </w:rPr>
        <w:t>Analyse en composantes principales</w:t>
      </w:r>
    </w:p>
    <w:p w:rsidR="001E09C9" w:rsidRDefault="001E09C9" w:rsidP="001E09C9">
      <w:pPr>
        <w:rPr>
          <w:color w:val="FF0000"/>
          <w:sz w:val="20"/>
          <w:szCs w:val="20"/>
        </w:rPr>
      </w:pPr>
    </w:p>
    <w:p w:rsidR="00E376E0" w:rsidRDefault="002434AD" w:rsidP="00E376E0">
      <w:pPr>
        <w:ind w:firstLine="708"/>
        <w:rPr>
          <w:b/>
          <w:color w:val="632423" w:themeColor="accent2" w:themeShade="80"/>
          <w:szCs w:val="24"/>
          <w:u w:val="single"/>
        </w:rPr>
      </w:pPr>
      <w:r>
        <w:rPr>
          <w:b/>
          <w:color w:val="632423" w:themeColor="accent2" w:themeShade="80"/>
          <w:szCs w:val="24"/>
          <w:u w:val="single"/>
        </w:rPr>
        <w:t>Exercice II.1</w:t>
      </w:r>
      <w:r w:rsidRPr="002434AD">
        <w:rPr>
          <w:b/>
          <w:color w:val="632423" w:themeColor="accent2" w:themeShade="80"/>
          <w:szCs w:val="24"/>
          <w:u w:val="single"/>
        </w:rPr>
        <w:t> : Exercice théorique</w:t>
      </w:r>
    </w:p>
    <w:p w:rsidR="00E376E0" w:rsidRDefault="00E376E0" w:rsidP="00E376E0">
      <w:pPr>
        <w:rPr>
          <w:b/>
          <w:color w:val="632423" w:themeColor="accent2" w:themeShade="80"/>
          <w:szCs w:val="24"/>
          <w:u w:val="single"/>
        </w:rPr>
      </w:pPr>
    </w:p>
    <w:p w:rsidR="00E376E0" w:rsidRPr="004408A3" w:rsidRDefault="00E376E0" w:rsidP="00E376E0">
      <w:pPr>
        <w:pStyle w:val="Paragraphedeliste"/>
        <w:numPr>
          <w:ilvl w:val="0"/>
          <w:numId w:val="6"/>
        </w:numPr>
        <w:ind w:left="0" w:firstLine="360"/>
        <w:rPr>
          <w:sz w:val="22"/>
        </w:rPr>
      </w:pPr>
      <w:r w:rsidRPr="004408A3">
        <w:rPr>
          <w:sz w:val="22"/>
        </w:rPr>
        <w:t>Nous partons d’une matrice A, à 4 individus et 3 variables, et nous souhaitons lui appliqué la méthode d’analyse en composantes principales.</w:t>
      </w:r>
      <w:r w:rsidR="00A47B33" w:rsidRPr="004408A3">
        <w:rPr>
          <w:sz w:val="22"/>
        </w:rPr>
        <w:t xml:space="preserve"> Pour l’application de cette méthode, la matrice A doit être </w:t>
      </w:r>
      <w:r w:rsidR="00A47B33" w:rsidRPr="004408A3">
        <w:rPr>
          <w:b/>
          <w:sz w:val="22"/>
        </w:rPr>
        <w:t>centrée en colonne</w:t>
      </w:r>
      <w:r w:rsidR="00A47B33" w:rsidRPr="004408A3">
        <w:rPr>
          <w:sz w:val="22"/>
        </w:rPr>
        <w:t xml:space="preserve">. Nous centrons donc la matrice, puis nous calculons ensuite la </w:t>
      </w:r>
      <w:r w:rsidR="00A47B33" w:rsidRPr="004408A3">
        <w:rPr>
          <w:b/>
          <w:sz w:val="22"/>
        </w:rPr>
        <w:t>matrice de variance S</w:t>
      </w:r>
      <w:r w:rsidR="00A47B33" w:rsidRPr="004408A3">
        <w:rPr>
          <w:sz w:val="22"/>
        </w:rPr>
        <w:t xml:space="preserve">. La fonction « eigen(S) » nous permet alors de récupérer les matrices des </w:t>
      </w:r>
      <w:r w:rsidR="00A47B33" w:rsidRPr="004408A3">
        <w:rPr>
          <w:b/>
          <w:sz w:val="22"/>
        </w:rPr>
        <w:t>vecteurs et des valeurs propres</w:t>
      </w:r>
      <w:r w:rsidR="00A47B33" w:rsidRPr="004408A3">
        <w:rPr>
          <w:sz w:val="22"/>
        </w:rPr>
        <w:t>.</w:t>
      </w:r>
      <w:r w:rsidR="00375D6B" w:rsidRPr="004408A3">
        <w:rPr>
          <w:sz w:val="22"/>
        </w:rPr>
        <w:t xml:space="preserve"> On a donc : </w:t>
      </w:r>
    </w:p>
    <w:p w:rsidR="00227B18" w:rsidRDefault="00227B18" w:rsidP="00227B18">
      <w:pPr>
        <w:rPr>
          <w:sz w:val="20"/>
          <w:szCs w:val="20"/>
        </w:rPr>
      </w:pPr>
    </w:p>
    <w:p w:rsidR="004408A3" w:rsidRDefault="004408A3" w:rsidP="00227B18">
      <w:pPr>
        <w:rPr>
          <w:sz w:val="20"/>
          <w:szCs w:val="20"/>
        </w:rPr>
      </w:pPr>
    </w:p>
    <w:p w:rsidR="00361AA2" w:rsidRPr="00361AA2" w:rsidRDefault="00361AA2" w:rsidP="00361AA2">
      <w:pPr>
        <w:jc w:val="center"/>
        <w:rPr>
          <w:sz w:val="18"/>
          <w:szCs w:val="18"/>
        </w:rPr>
      </w:pPr>
      <w:r w:rsidRPr="00361AA2">
        <w:rPr>
          <w:sz w:val="18"/>
          <w:szCs w:val="18"/>
        </w:rPr>
        <w:t>Matrice A</w:t>
      </w:r>
      <w:r w:rsidR="00BA7E52" w:rsidRPr="00361AA2">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3</m:t>
                  </m:r>
                </m:e>
                <m:e>
                  <m:r>
                    <w:rPr>
                      <w:rFonts w:ascii="Cambria Math" w:hAnsi="Cambria Math"/>
                      <w:sz w:val="18"/>
                      <w:szCs w:val="18"/>
                    </w:rPr>
                    <m:t>4</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e>
              </m:mr>
              <m:mr>
                <m:e>
                  <m:r>
                    <w:rPr>
                      <w:rFonts w:ascii="Cambria Math" w:hAnsi="Cambria Math"/>
                      <w:sz w:val="18"/>
                      <w:szCs w:val="18"/>
                    </w:rPr>
                    <m:t>1</m:t>
                  </m:r>
                </m:e>
                <m:e>
                  <m:r>
                    <w:rPr>
                      <w:rFonts w:ascii="Cambria Math" w:hAnsi="Cambria Math"/>
                      <w:sz w:val="18"/>
                      <w:szCs w:val="18"/>
                    </w:rPr>
                    <m:t>4</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ctrlPr>
                    <w:rPr>
                      <w:rFonts w:ascii="Cambria Math" w:eastAsia="Cambria Math" w:hAnsi="Cambria Math" w:cs="Cambria Math"/>
                      <w:i/>
                      <w:sz w:val="18"/>
                      <w:szCs w:val="18"/>
                    </w:rPr>
                  </m:ctrlPr>
                </m:e>
                <m:e>
                  <m:r>
                    <w:rPr>
                      <w:rFonts w:ascii="Cambria Math" w:eastAsia="Cambria Math" w:hAnsi="Cambria Math" w:cs="Cambria Math"/>
                      <w:sz w:val="18"/>
                      <w:szCs w:val="18"/>
                    </w:rPr>
                    <m:t>6</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4</m:t>
                  </m:r>
                </m:e>
              </m:mr>
            </m:m>
          </m:e>
        </m:d>
      </m:oMath>
      <w:r w:rsidR="00BA7E52" w:rsidRPr="00361AA2">
        <w:rPr>
          <w:sz w:val="18"/>
          <w:szCs w:val="18"/>
        </w:rPr>
        <w:t xml:space="preserve"> </w:t>
      </w:r>
      <w:r w:rsidRPr="00361AA2">
        <w:rPr>
          <w:sz w:val="18"/>
          <w:szCs w:val="18"/>
        </w:rPr>
        <w:t xml:space="preserve">  </w:t>
      </w:r>
      <w:r w:rsidR="002A7935">
        <w:rPr>
          <w:sz w:val="18"/>
          <w:szCs w:val="18"/>
        </w:rPr>
        <w:t xml:space="preserve">           </w:t>
      </w:r>
      <w:r w:rsidRPr="00361AA2">
        <w:rPr>
          <w:sz w:val="18"/>
          <w:szCs w:val="18"/>
        </w:rPr>
        <w:t xml:space="preserve">Matrice </w:t>
      </w:r>
      <w:r w:rsidR="00BA7E52" w:rsidRPr="00361AA2">
        <w:rPr>
          <w:sz w:val="18"/>
          <w:szCs w:val="18"/>
        </w:rPr>
        <w:t>A centré</w:t>
      </w:r>
      <w:r w:rsidRPr="00361AA2">
        <w:rPr>
          <w:sz w:val="18"/>
          <w:szCs w:val="18"/>
        </w:rPr>
        <w:t>e</w:t>
      </w:r>
      <w:r w:rsidR="00BA7E52" w:rsidRPr="00361AA2">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 xml:space="preserve">   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sidRPr="00361AA2">
        <w:rPr>
          <w:sz w:val="18"/>
          <w:szCs w:val="18"/>
        </w:rPr>
        <w:t xml:space="preserve">   </w:t>
      </w:r>
      <w:r w:rsidR="002A7935">
        <w:rPr>
          <w:sz w:val="18"/>
          <w:szCs w:val="18"/>
        </w:rPr>
        <w:t xml:space="preserve">  </w:t>
      </w:r>
      <w:r w:rsidRPr="00361AA2">
        <w:rPr>
          <w:sz w:val="18"/>
          <w:szCs w:val="18"/>
        </w:rPr>
        <w:t xml:space="preserve"> </w:t>
      </w:r>
      <w:r w:rsidR="002A7935">
        <w:rPr>
          <w:sz w:val="18"/>
          <w:szCs w:val="18"/>
        </w:rPr>
        <w:t xml:space="preserve">       </w:t>
      </w:r>
      <w:r w:rsidRPr="00361AA2">
        <w:rPr>
          <w:sz w:val="18"/>
          <w:szCs w:val="18"/>
        </w:rPr>
        <w:t xml:space="preserve">Matrice de variance </w:t>
      </w:r>
      <w:r w:rsidR="00BA7E52" w:rsidRPr="00361AA2">
        <w:rPr>
          <w:sz w:val="18"/>
          <w:szCs w:val="18"/>
        </w:rPr>
        <w:t xml:space="preserve">S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0,5</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r>
                <m:e>
                  <m:r>
                    <w:rPr>
                      <w:rFonts w:ascii="Cambria Math" w:hAnsi="Cambria Math"/>
                      <w:sz w:val="18"/>
                      <w:szCs w:val="18"/>
                    </w:rPr>
                    <m:t>0</m:t>
                  </m:r>
                </m:e>
                <m:e>
                  <m:r>
                    <w:rPr>
                      <w:rFonts w:ascii="Cambria Math" w:hAnsi="Cambria Math"/>
                      <w:sz w:val="18"/>
                      <w:szCs w:val="18"/>
                    </w:rPr>
                    <m:t xml:space="preserve">   1,5</m:t>
                  </m:r>
                  <m:ctrlPr>
                    <w:rPr>
                      <w:rFonts w:ascii="Cambria Math" w:eastAsia="Cambria Math" w:hAnsi="Cambria Math" w:cs="Cambria Math"/>
                      <w:i/>
                      <w:sz w:val="18"/>
                      <w:szCs w:val="18"/>
                    </w:rPr>
                  </m:ctrlPr>
                </m:e>
                <m:e>
                  <m:r>
                    <w:rPr>
                      <w:rFonts w:ascii="Cambria Math" w:eastAsia="Cambria Math" w:hAnsi="Cambria Math" w:cs="Cambria Math"/>
                      <w:sz w:val="18"/>
                      <w:szCs w:val="18"/>
                    </w:rPr>
                    <m:t>-0,5</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-0,5</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1,5</m:t>
                  </m:r>
                </m:e>
              </m:mr>
            </m:m>
          </m:e>
        </m:d>
      </m:oMath>
    </w:p>
    <w:p w:rsidR="00361AA2" w:rsidRPr="00361AA2" w:rsidRDefault="00361AA2" w:rsidP="00227B18">
      <w:pPr>
        <w:rPr>
          <w:sz w:val="18"/>
          <w:szCs w:val="18"/>
        </w:rPr>
      </w:pPr>
    </w:p>
    <w:p w:rsidR="00227B18" w:rsidRDefault="002A7935" w:rsidP="00361AA2">
      <w:pPr>
        <w:jc w:val="center"/>
        <w:rPr>
          <w:sz w:val="18"/>
          <w:szCs w:val="18"/>
        </w:rPr>
      </w:pPr>
      <w:r>
        <w:rPr>
          <w:sz w:val="18"/>
          <w:szCs w:val="18"/>
        </w:rPr>
        <w:t>Matrice des v</w:t>
      </w:r>
      <w:r w:rsidR="00361AA2" w:rsidRPr="00361AA2">
        <w:rPr>
          <w:sz w:val="18"/>
          <w:szCs w:val="18"/>
        </w:rPr>
        <w:t>ecteurs propres </w:t>
      </w:r>
      <w:r>
        <w:rPr>
          <w:sz w:val="18"/>
          <w:szCs w:val="18"/>
        </w:rPr>
        <w:t xml:space="preserve">U </w:t>
      </w:r>
      <w:r w:rsidR="00361AA2" w:rsidRPr="00361AA2">
        <w:rPr>
          <w:sz w:val="18"/>
          <w:szCs w:val="18"/>
        </w:rPr>
        <w:t xml:space="preserve">: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-0,707</m:t>
                  </m:r>
                </m:e>
                <m:e>
                  <m:r>
                    <w:rPr>
                      <w:rFonts w:ascii="Cambria Math" w:hAnsi="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
          </m:e>
        </m:d>
      </m:oMath>
      <w:r w:rsidR="00361AA2" w:rsidRPr="00361AA2">
        <w:rPr>
          <w:sz w:val="18"/>
          <w:szCs w:val="18"/>
        </w:rPr>
        <w:t xml:space="preserve">    </w:t>
      </w:r>
      <w:r>
        <w:rPr>
          <w:sz w:val="18"/>
          <w:szCs w:val="18"/>
        </w:rPr>
        <w:t xml:space="preserve">     </w:t>
      </w:r>
      <w:r w:rsidR="00361AA2" w:rsidRPr="00361AA2">
        <w:rPr>
          <w:sz w:val="18"/>
          <w:szCs w:val="18"/>
        </w:rPr>
        <w:t xml:space="preserve">   associé aux valeurs propres 2, 1 et 0.5</w:t>
      </w:r>
    </w:p>
    <w:p w:rsidR="00361AA2" w:rsidRDefault="00361AA2" w:rsidP="00361AA2">
      <w:pPr>
        <w:jc w:val="center"/>
        <w:rPr>
          <w:sz w:val="18"/>
          <w:szCs w:val="18"/>
        </w:rPr>
      </w:pPr>
    </w:p>
    <w:p w:rsidR="004408A3" w:rsidRDefault="004408A3" w:rsidP="00361AA2">
      <w:pPr>
        <w:jc w:val="center"/>
        <w:rPr>
          <w:sz w:val="18"/>
          <w:szCs w:val="18"/>
        </w:rPr>
      </w:pPr>
    </w:p>
    <w:p w:rsidR="004408A3" w:rsidRDefault="004408A3" w:rsidP="00361AA2">
      <w:pPr>
        <w:jc w:val="center"/>
        <w:rPr>
          <w:sz w:val="18"/>
          <w:szCs w:val="18"/>
        </w:rPr>
      </w:pPr>
    </w:p>
    <w:p w:rsidR="00361AA2" w:rsidRDefault="00962A8D" w:rsidP="00361AA2">
      <w:pPr>
        <w:rPr>
          <w:sz w:val="22"/>
        </w:rPr>
      </w:pPr>
      <w:r w:rsidRPr="004408A3">
        <w:rPr>
          <w:b/>
          <w:sz w:val="22"/>
        </w:rPr>
        <w:t>Calcul des pourcentages d’inertie expliq</w:t>
      </w:r>
      <w:r w:rsidRPr="004408A3">
        <w:rPr>
          <w:sz w:val="22"/>
        </w:rPr>
        <w:t>uée par chacun de ces axes :</w:t>
      </w:r>
    </w:p>
    <w:p w:rsidR="004408A3" w:rsidRPr="004408A3" w:rsidRDefault="004408A3" w:rsidP="00361AA2">
      <w:pPr>
        <w:rPr>
          <w:sz w:val="22"/>
        </w:rPr>
      </w:pPr>
    </w:p>
    <w:p w:rsidR="00377BDB" w:rsidRPr="00377BDB" w:rsidRDefault="00962A8D" w:rsidP="00377BDB">
      <w:pPr>
        <w:jc w:val="center"/>
        <w:rPr>
          <w:sz w:val="20"/>
          <w:szCs w:val="20"/>
        </w:rPr>
      </w:pPr>
      <w:r w:rsidRPr="00377BDB">
        <w:rPr>
          <w:sz w:val="20"/>
          <w:szCs w:val="20"/>
        </w:rPr>
        <w:t xml:space="preserve">axe 1 : </w:t>
      </w:r>
      <m:oMath>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2+1+0.5</m:t>
            </m:r>
          </m:den>
        </m:f>
      </m:oMath>
      <w:r w:rsidR="00377BDB" w:rsidRPr="00377BDB">
        <w:rPr>
          <w:sz w:val="20"/>
          <w:szCs w:val="20"/>
        </w:rPr>
        <w:t xml:space="preserve"> x 100 = 57.14 %</w:t>
      </w:r>
    </w:p>
    <w:p w:rsidR="00377BDB" w:rsidRPr="00377BDB" w:rsidRDefault="00962A8D" w:rsidP="00377BDB">
      <w:pPr>
        <w:jc w:val="center"/>
        <w:rPr>
          <w:sz w:val="20"/>
          <w:szCs w:val="20"/>
        </w:rPr>
      </w:pPr>
      <w:r w:rsidRPr="00377BDB">
        <w:rPr>
          <w:sz w:val="20"/>
          <w:szCs w:val="20"/>
        </w:rPr>
        <w:t>axe 2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2+1+0.5</m:t>
            </m:r>
          </m:den>
        </m:f>
      </m:oMath>
      <w:r w:rsidR="00377BDB">
        <w:rPr>
          <w:sz w:val="20"/>
          <w:szCs w:val="20"/>
        </w:rPr>
        <w:t xml:space="preserve"> x 100 = 28.57 %</w:t>
      </w:r>
    </w:p>
    <w:p w:rsidR="00377BDB" w:rsidRDefault="00962A8D" w:rsidP="00637A50">
      <w:pPr>
        <w:jc w:val="center"/>
        <w:rPr>
          <w:sz w:val="20"/>
          <w:szCs w:val="20"/>
        </w:rPr>
      </w:pPr>
      <w:r>
        <w:rPr>
          <w:sz w:val="20"/>
          <w:szCs w:val="20"/>
        </w:rPr>
        <w:t xml:space="preserve">axe 3 : </w:t>
      </w:r>
      <m:oMath>
        <m:f>
          <m:fPr>
            <m:ctrlPr>
              <w:rPr>
                <w:rFonts w:ascii="Cambria Math" w:hAnsi="Cambria Math"/>
                <w:i/>
                <w:sz w:val="20"/>
                <w:szCs w:val="20"/>
              </w:rPr>
            </m:ctrlPr>
          </m:fPr>
          <m:num>
            <m:r>
              <w:rPr>
                <w:rFonts w:ascii="Cambria Math" w:hAnsi="Cambria Math"/>
                <w:sz w:val="20"/>
                <w:szCs w:val="20"/>
              </w:rPr>
              <m:t>0.5</m:t>
            </m:r>
          </m:num>
          <m:den>
            <m:r>
              <w:rPr>
                <w:rFonts w:ascii="Cambria Math" w:hAnsi="Cambria Math"/>
                <w:sz w:val="20"/>
                <w:szCs w:val="20"/>
              </w:rPr>
              <m:t>2+1+0.5</m:t>
            </m:r>
          </m:den>
        </m:f>
      </m:oMath>
      <w:r w:rsidR="00377BDB">
        <w:rPr>
          <w:sz w:val="20"/>
          <w:szCs w:val="20"/>
        </w:rPr>
        <w:t xml:space="preserve"> x 100 = 14.29 %</w:t>
      </w:r>
    </w:p>
    <w:p w:rsidR="004408A3" w:rsidRDefault="004408A3" w:rsidP="00637A50">
      <w:pPr>
        <w:jc w:val="center"/>
        <w:rPr>
          <w:sz w:val="20"/>
          <w:szCs w:val="20"/>
        </w:rPr>
      </w:pPr>
    </w:p>
    <w:p w:rsidR="002A7935" w:rsidRPr="004408A3" w:rsidRDefault="00637A50" w:rsidP="00637A50">
      <w:pPr>
        <w:jc w:val="center"/>
        <w:rPr>
          <w:sz w:val="22"/>
        </w:rPr>
      </w:pPr>
      <w:r w:rsidRPr="004408A3">
        <w:rPr>
          <w:sz w:val="22"/>
        </w:rPr>
        <w:t>(L’axe 3 est ici moins intéressant que les deux premiers, puisqu’il explique seulement 14% de l’inertie générale)</w:t>
      </w:r>
    </w:p>
    <w:p w:rsidR="00637A50" w:rsidRDefault="00637A50" w:rsidP="00377BDB">
      <w:pPr>
        <w:jc w:val="center"/>
        <w:rPr>
          <w:sz w:val="20"/>
          <w:szCs w:val="20"/>
        </w:rPr>
      </w:pPr>
    </w:p>
    <w:p w:rsidR="00637A50" w:rsidRDefault="00637A50" w:rsidP="00377BDB">
      <w:pPr>
        <w:jc w:val="center"/>
        <w:rPr>
          <w:sz w:val="20"/>
          <w:szCs w:val="20"/>
        </w:rPr>
      </w:pPr>
    </w:p>
    <w:p w:rsidR="00377BDB" w:rsidRPr="004408A3" w:rsidRDefault="00375D6B" w:rsidP="00375D6B">
      <w:pPr>
        <w:pStyle w:val="Paragraphedeliste"/>
        <w:numPr>
          <w:ilvl w:val="0"/>
          <w:numId w:val="6"/>
        </w:numPr>
        <w:ind w:left="0" w:firstLine="360"/>
        <w:rPr>
          <w:sz w:val="22"/>
        </w:rPr>
      </w:pPr>
      <w:r w:rsidRPr="004408A3">
        <w:rPr>
          <w:b/>
          <w:sz w:val="22"/>
        </w:rPr>
        <w:t>Calcul des composantes principales :</w:t>
      </w:r>
      <w:r w:rsidRPr="004408A3">
        <w:rPr>
          <w:sz w:val="22"/>
        </w:rPr>
        <w:t xml:space="preserve"> celles-ci s’obtiennent aisément grâce à la formule : C= AU, où A est la matrice centrée en colonnes, et U la matrice des vecteurs propres. Ainsi :</w:t>
      </w:r>
    </w:p>
    <w:p w:rsidR="00375D6B" w:rsidRDefault="00375D6B" w:rsidP="00375D6B">
      <w:pPr>
        <w:rPr>
          <w:sz w:val="20"/>
          <w:szCs w:val="20"/>
        </w:rPr>
      </w:pPr>
    </w:p>
    <w:p w:rsidR="004408A3" w:rsidRDefault="004408A3" w:rsidP="00375D6B">
      <w:pPr>
        <w:rPr>
          <w:sz w:val="20"/>
          <w:szCs w:val="20"/>
        </w:rPr>
      </w:pPr>
    </w:p>
    <w:p w:rsidR="00375D6B" w:rsidRDefault="00375D6B" w:rsidP="00375D6B">
      <w:pPr>
        <w:jc w:val="center"/>
        <w:rPr>
          <w:sz w:val="18"/>
          <w:szCs w:val="18"/>
        </w:rPr>
      </w:pPr>
      <w:r>
        <w:rPr>
          <w:sz w:val="18"/>
          <w:szCs w:val="18"/>
        </w:rPr>
        <w:t xml:space="preserve">Matrice des composantes principales C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-1,41</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e>
              </m:mr>
              <m:mr>
                <m:e>
                  <m:r>
                    <w:rPr>
                      <w:rFonts w:ascii="Cambria Math" w:hAnsi="Cambria Math"/>
                      <w:sz w:val="18"/>
                      <w:szCs w:val="18"/>
                    </w:rPr>
                    <m:t>-1,41</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p>
    <w:p w:rsidR="004B018E" w:rsidRDefault="004B018E" w:rsidP="00375D6B">
      <w:pPr>
        <w:jc w:val="center"/>
        <w:rPr>
          <w:sz w:val="18"/>
          <w:szCs w:val="18"/>
        </w:rPr>
      </w:pPr>
    </w:p>
    <w:p w:rsidR="004408A3" w:rsidRDefault="004408A3" w:rsidP="00375D6B">
      <w:pPr>
        <w:jc w:val="center"/>
        <w:rPr>
          <w:sz w:val="18"/>
          <w:szCs w:val="18"/>
        </w:rPr>
      </w:pPr>
    </w:p>
    <w:p w:rsidR="000E23E4" w:rsidRPr="004408A3" w:rsidRDefault="000E23E4" w:rsidP="000E23E4">
      <w:pPr>
        <w:rPr>
          <w:sz w:val="22"/>
        </w:rPr>
      </w:pPr>
      <w:r w:rsidRPr="004408A3">
        <w:rPr>
          <w:b/>
          <w:sz w:val="22"/>
        </w:rPr>
        <w:t>Représentation des quatre individus dans le premier plan factoriel :</w:t>
      </w:r>
      <w:r w:rsidR="005E112A" w:rsidRPr="004408A3">
        <w:rPr>
          <w:sz w:val="22"/>
        </w:rPr>
        <w:t xml:space="preserve"> Le premier plan factoriel est </w:t>
      </w:r>
      <w:r w:rsidR="005E112A" w:rsidRPr="004408A3">
        <w:rPr>
          <w:rFonts w:cs="Times New Roman"/>
          <w:sz w:val="22"/>
        </w:rPr>
        <w:t>∆</w:t>
      </w:r>
      <w:r w:rsidR="005E112A" w:rsidRPr="004408A3">
        <w:rPr>
          <w:sz w:val="22"/>
        </w:rPr>
        <w:t>u</w:t>
      </w:r>
      <w:r w:rsidR="005E112A" w:rsidRPr="004408A3">
        <w:rPr>
          <w:sz w:val="22"/>
          <w:vertAlign w:val="subscript"/>
        </w:rPr>
        <w:t>1</w:t>
      </w:r>
      <w:r w:rsidR="005E112A" w:rsidRPr="004408A3">
        <w:rPr>
          <w:sz w:val="22"/>
        </w:rPr>
        <w:t>, composé des u</w:t>
      </w:r>
      <w:r w:rsidR="005E112A" w:rsidRPr="004408A3">
        <w:rPr>
          <w:sz w:val="22"/>
          <w:vertAlign w:val="subscript"/>
        </w:rPr>
        <w:t>1</w:t>
      </w:r>
      <w:r w:rsidR="005E112A" w:rsidRPr="004408A3">
        <w:rPr>
          <w:sz w:val="22"/>
        </w:rPr>
        <w:t xml:space="preserve"> et u</w:t>
      </w:r>
      <w:r w:rsidR="005E112A" w:rsidRPr="004408A3">
        <w:rPr>
          <w:sz w:val="22"/>
          <w:vertAlign w:val="subscript"/>
        </w:rPr>
        <w:t>2</w:t>
      </w:r>
      <w:r w:rsidR="005E112A" w:rsidRPr="004408A3">
        <w:rPr>
          <w:sz w:val="22"/>
        </w:rPr>
        <w:t xml:space="preserve"> de la matrice C.</w:t>
      </w:r>
    </w:p>
    <w:p w:rsidR="000E23E4" w:rsidRDefault="00C35D74" w:rsidP="00C35D74">
      <w:pPr>
        <w:jc w:val="center"/>
        <w:rPr>
          <w:sz w:val="20"/>
          <w:szCs w:val="20"/>
        </w:rPr>
      </w:pPr>
      <w:r w:rsidRPr="00C35D74">
        <w:rPr>
          <w:noProof/>
          <w:szCs w:val="20"/>
        </w:rPr>
        <w:lastRenderedPageBreak/>
        <w:drawing>
          <wp:inline distT="0" distB="0" distL="0" distR="0">
            <wp:extent cx="2186940" cy="1762125"/>
            <wp:effectExtent l="1905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t="16157" b="3057"/>
                    <a:stretch>
                      <a:fillRect/>
                    </a:stretch>
                  </pic:blipFill>
                  <pic:spPr bwMode="auto">
                    <a:xfrm>
                      <a:off x="0" y="0"/>
                      <a:ext cx="2186940" cy="1762125"/>
                    </a:xfrm>
                    <a:prstGeom prst="rect">
                      <a:avLst/>
                    </a:prstGeom>
                    <a:noFill/>
                    <a:ln w="9525">
                      <a:noFill/>
                      <a:miter lim="800000"/>
                      <a:headEnd/>
                      <a:tailEnd/>
                    </a:ln>
                  </pic:spPr>
                </pic:pic>
              </a:graphicData>
            </a:graphic>
          </wp:inline>
        </w:drawing>
      </w:r>
    </w:p>
    <w:p w:rsidR="002A7935" w:rsidRPr="004408A3" w:rsidRDefault="005E112A" w:rsidP="00637A50">
      <w:pPr>
        <w:ind w:firstLine="284"/>
        <w:rPr>
          <w:sz w:val="22"/>
        </w:rPr>
      </w:pPr>
      <w:r w:rsidRPr="004408A3">
        <w:rPr>
          <w:sz w:val="22"/>
        </w:rPr>
        <w:t>On observe que les deux premiers individus sont confondus</w:t>
      </w:r>
      <w:r w:rsidR="009D3E4D" w:rsidRPr="004408A3">
        <w:rPr>
          <w:sz w:val="22"/>
        </w:rPr>
        <w:t xml:space="preserve"> sur les 2 axes</w:t>
      </w:r>
      <w:r w:rsidRPr="004408A3">
        <w:rPr>
          <w:sz w:val="22"/>
        </w:rPr>
        <w:t xml:space="preserve">, </w:t>
      </w:r>
      <w:r w:rsidR="009D3E4D" w:rsidRPr="004408A3">
        <w:rPr>
          <w:sz w:val="22"/>
        </w:rPr>
        <w:t>et que les deux derniers individus sont similaires sur l’axe 1 mais éloignés sur l’axe 2.</w:t>
      </w:r>
      <w:r w:rsidR="00637A50" w:rsidRPr="004408A3">
        <w:rPr>
          <w:sz w:val="22"/>
        </w:rPr>
        <w:t xml:space="preserve"> Le premier axe permet donc d’isoler les 2 premiers individus aux 2 derniers. Sur le second axe permet quant à lui de di</w:t>
      </w:r>
      <w:r w:rsidR="00780AF9" w:rsidRPr="004408A3">
        <w:rPr>
          <w:sz w:val="22"/>
        </w:rPr>
        <w:t>fférencier les 2 derniers individus (les 2 premiers individu</w:t>
      </w:r>
      <w:r w:rsidR="00637A50" w:rsidRPr="004408A3">
        <w:rPr>
          <w:sz w:val="22"/>
        </w:rPr>
        <w:t>s restant similaires).</w:t>
      </w:r>
    </w:p>
    <w:p w:rsidR="005E112A" w:rsidRPr="004408A3" w:rsidRDefault="005E112A" w:rsidP="00C35D74">
      <w:pPr>
        <w:jc w:val="center"/>
        <w:rPr>
          <w:sz w:val="22"/>
        </w:rPr>
      </w:pPr>
    </w:p>
    <w:p w:rsidR="005E112A" w:rsidRDefault="005E112A" w:rsidP="00C35D74">
      <w:pPr>
        <w:jc w:val="center"/>
        <w:rPr>
          <w:sz w:val="20"/>
          <w:szCs w:val="20"/>
        </w:rPr>
      </w:pPr>
    </w:p>
    <w:p w:rsidR="000E23E4" w:rsidRPr="004408A3" w:rsidRDefault="000E23E4" w:rsidP="000E23E4">
      <w:pPr>
        <w:pStyle w:val="Paragraphedeliste"/>
        <w:numPr>
          <w:ilvl w:val="0"/>
          <w:numId w:val="6"/>
        </w:numPr>
        <w:ind w:left="0" w:firstLine="360"/>
        <w:rPr>
          <w:b/>
          <w:szCs w:val="24"/>
        </w:rPr>
      </w:pPr>
      <w:r w:rsidRPr="004408A3">
        <w:rPr>
          <w:b/>
          <w:szCs w:val="24"/>
        </w:rPr>
        <w:t>Représentation des trois variables dans le premier plan factoriel :</w:t>
      </w:r>
      <w:r w:rsidR="002E3AB3" w:rsidRPr="004408A3">
        <w:rPr>
          <w:szCs w:val="24"/>
        </w:rPr>
        <w:t xml:space="preserve"> Nous obtenons la représentation grâce à la formule : D = D</w:t>
      </w:r>
      <w:r w:rsidR="002E3AB3" w:rsidRPr="004408A3">
        <w:rPr>
          <w:szCs w:val="24"/>
          <w:vertAlign w:val="subscript"/>
        </w:rPr>
        <w:t>1/</w:t>
      </w:r>
      <w:r w:rsidR="002E3AB3" w:rsidRPr="004408A3">
        <w:rPr>
          <w:rFonts w:cs="Times New Roman"/>
          <w:szCs w:val="24"/>
          <w:vertAlign w:val="subscript"/>
        </w:rPr>
        <w:t>σ</w:t>
      </w:r>
      <w:r w:rsidR="002E3AB3" w:rsidRPr="004408A3">
        <w:rPr>
          <w:szCs w:val="24"/>
        </w:rPr>
        <w:t>UL</w:t>
      </w:r>
      <w:r w:rsidR="002E3AB3" w:rsidRPr="004408A3">
        <w:rPr>
          <w:szCs w:val="24"/>
          <w:vertAlign w:val="superscript"/>
        </w:rPr>
        <w:t>0.5</w:t>
      </w:r>
    </w:p>
    <w:p w:rsidR="00C35D74" w:rsidRDefault="00C35D74" w:rsidP="00C35D74">
      <w:pPr>
        <w:rPr>
          <w:b/>
          <w:sz w:val="20"/>
          <w:szCs w:val="20"/>
        </w:rPr>
      </w:pPr>
    </w:p>
    <w:p w:rsidR="00C35D74" w:rsidRDefault="00C35D74" w:rsidP="00C35D74">
      <w:pPr>
        <w:jc w:val="center"/>
        <w:rPr>
          <w:b/>
          <w:sz w:val="20"/>
          <w:szCs w:val="20"/>
        </w:rPr>
      </w:pPr>
      <w:r w:rsidRPr="00C35D74">
        <w:rPr>
          <w:noProof/>
          <w:szCs w:val="20"/>
        </w:rPr>
        <w:drawing>
          <wp:inline distT="0" distB="0" distL="0" distR="0">
            <wp:extent cx="2524125" cy="2171700"/>
            <wp:effectExtent l="1905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t="14182" b="2909"/>
                    <a:stretch>
                      <a:fillRect/>
                    </a:stretch>
                  </pic:blipFill>
                  <pic:spPr bwMode="auto">
                    <a:xfrm>
                      <a:off x="0" y="0"/>
                      <a:ext cx="2524125" cy="2171700"/>
                    </a:xfrm>
                    <a:prstGeom prst="rect">
                      <a:avLst/>
                    </a:prstGeom>
                    <a:noFill/>
                    <a:ln w="9525">
                      <a:noFill/>
                      <a:miter lim="800000"/>
                      <a:headEnd/>
                      <a:tailEnd/>
                    </a:ln>
                  </pic:spPr>
                </pic:pic>
              </a:graphicData>
            </a:graphic>
          </wp:inline>
        </w:drawing>
      </w:r>
    </w:p>
    <w:p w:rsidR="00906770" w:rsidRPr="004408A3" w:rsidRDefault="007834F3" w:rsidP="00906770">
      <w:pPr>
        <w:ind w:firstLine="284"/>
        <w:rPr>
          <w:sz w:val="22"/>
        </w:rPr>
      </w:pPr>
      <w:r w:rsidRPr="004408A3">
        <w:rPr>
          <w:sz w:val="22"/>
        </w:rPr>
        <w:t>On observe que les variables 2 et 3 sont similaire</w:t>
      </w:r>
      <w:r w:rsidR="00BB0CD6" w:rsidRPr="004408A3">
        <w:rPr>
          <w:sz w:val="22"/>
        </w:rPr>
        <w:t>s</w:t>
      </w:r>
      <w:r w:rsidRPr="004408A3">
        <w:rPr>
          <w:sz w:val="22"/>
        </w:rPr>
        <w:t xml:space="preserve"> sur l’axe 2 et qu’elles sont bien représentées (</w:t>
      </w:r>
      <w:r w:rsidR="00BB0CD6" w:rsidRPr="004408A3">
        <w:rPr>
          <w:sz w:val="22"/>
        </w:rPr>
        <w:t>proche du cercle</w:t>
      </w:r>
      <w:r w:rsidRPr="004408A3">
        <w:rPr>
          <w:sz w:val="22"/>
        </w:rPr>
        <w:t>).</w:t>
      </w:r>
      <w:r w:rsidR="00BB0CD6" w:rsidRPr="004408A3">
        <w:rPr>
          <w:sz w:val="22"/>
        </w:rPr>
        <w:t xml:space="preserve"> </w:t>
      </w:r>
      <w:r w:rsidRPr="004408A3">
        <w:rPr>
          <w:sz w:val="22"/>
        </w:rPr>
        <w:t>Quant à la 1</w:t>
      </w:r>
      <w:r w:rsidRPr="004408A3">
        <w:rPr>
          <w:sz w:val="22"/>
          <w:vertAlign w:val="superscript"/>
        </w:rPr>
        <w:t>ère</w:t>
      </w:r>
      <w:r w:rsidRPr="004408A3">
        <w:rPr>
          <w:sz w:val="22"/>
        </w:rPr>
        <w:t xml:space="preserve"> variable, elle est mal représentée et est moins similaires</w:t>
      </w:r>
      <w:r w:rsidR="00BB0CD6" w:rsidRPr="004408A3">
        <w:rPr>
          <w:sz w:val="22"/>
        </w:rPr>
        <w:t xml:space="preserve"> aves les 2 dernières variables, elle n’est ni corrélée par l’axe 1, ni corrélée par l’axe 2 ; elle sera alors sûrement expliquée par un autre plan factoriel.</w:t>
      </w:r>
    </w:p>
    <w:p w:rsidR="00906770" w:rsidRDefault="00906770" w:rsidP="00906770">
      <w:pPr>
        <w:rPr>
          <w:sz w:val="20"/>
          <w:szCs w:val="20"/>
        </w:rPr>
      </w:pPr>
    </w:p>
    <w:p w:rsidR="00906770" w:rsidRPr="004408A3" w:rsidRDefault="00906770" w:rsidP="007628F3">
      <w:pPr>
        <w:pStyle w:val="Paragraphedeliste"/>
        <w:numPr>
          <w:ilvl w:val="0"/>
          <w:numId w:val="6"/>
        </w:numPr>
        <w:ind w:left="0" w:firstLine="360"/>
        <w:rPr>
          <w:b/>
          <w:sz w:val="22"/>
        </w:rPr>
      </w:pPr>
      <w:r w:rsidRPr="004408A3">
        <w:rPr>
          <w:b/>
          <w:sz w:val="22"/>
        </w:rPr>
        <w:t xml:space="preserve">Calcul de l’expression </w:t>
      </w:r>
      <m:oMath>
        <m:nary>
          <m:naryPr>
            <m:chr m:val="∑"/>
            <m:grow m:val="on"/>
            <m:ctrlPr>
              <w:rPr>
                <w:rFonts w:ascii="Cambria Math" w:hAnsi="Cambria Math"/>
                <w:b/>
                <w:sz w:val="22"/>
              </w:rPr>
            </m:ctrlPr>
          </m:naryPr>
          <m:sub>
            <m:r>
              <m:rPr>
                <m:sty m:val="bi"/>
              </m:rPr>
              <w:rPr>
                <w:rFonts w:ascii="Cambria Math" w:eastAsia="Cambria Math" w:hAnsi="Cambria Math" w:cs="Cambria Math"/>
                <w:sz w:val="22"/>
              </w:rPr>
              <m:t>α=0</m:t>
            </m:r>
          </m:sub>
          <m:sup>
            <m:r>
              <m:rPr>
                <m:sty m:val="bi"/>
              </m:rPr>
              <w:rPr>
                <w:rFonts w:ascii="Cambria Math" w:eastAsia="Cambria Math" w:hAnsi="Cambria Math" w:cs="Cambria Math"/>
                <w:sz w:val="22"/>
              </w:rPr>
              <m:t>k</m:t>
            </m:r>
          </m:sup>
          <m:e>
            <m:r>
              <m:rPr>
                <m:sty m:val="b"/>
              </m:rPr>
              <w:rPr>
                <w:rFonts w:ascii="Cambria Math" w:hAnsi="Cambria Math"/>
                <w:sz w:val="22"/>
              </w:rPr>
              <m:t xml:space="preserve">c </m:t>
            </m:r>
          </m:e>
        </m:nary>
      </m:oMath>
      <w:r w:rsidR="007C420B" w:rsidRPr="004408A3">
        <w:rPr>
          <w:rFonts w:cs="Times New Roman"/>
          <w:b/>
          <w:sz w:val="22"/>
          <w:vertAlign w:val="subscript"/>
        </w:rPr>
        <w:t xml:space="preserve"> σ</w:t>
      </w:r>
      <w:r w:rsidR="007C420B" w:rsidRPr="004408A3">
        <w:rPr>
          <w:rFonts w:cs="Times New Roman"/>
          <w:b/>
          <w:sz w:val="22"/>
        </w:rPr>
        <w:t xml:space="preserve"> u’</w:t>
      </w:r>
      <w:r w:rsidR="007C420B" w:rsidRPr="004408A3">
        <w:rPr>
          <w:rFonts w:cs="Times New Roman"/>
          <w:b/>
          <w:sz w:val="22"/>
          <w:vertAlign w:val="subscript"/>
        </w:rPr>
        <w:t>σ</w:t>
      </w:r>
    </w:p>
    <w:p w:rsidR="007C420B" w:rsidRDefault="007C420B" w:rsidP="007C420B">
      <w:pPr>
        <w:rPr>
          <w:b/>
          <w:sz w:val="20"/>
          <w:szCs w:val="20"/>
        </w:rPr>
      </w:pPr>
    </w:p>
    <w:p w:rsidR="007C420B" w:rsidRDefault="007C420B" w:rsidP="007C420B">
      <w:pPr>
        <w:jc w:val="center"/>
        <w:rPr>
          <w:rFonts w:cs="Times New Roman"/>
          <w:sz w:val="18"/>
          <w:szCs w:val="18"/>
        </w:rPr>
      </w:pPr>
      <w:r w:rsidRPr="007C420B">
        <w:rPr>
          <w:rFonts w:cs="Times New Roman"/>
          <w:sz w:val="20"/>
          <w:szCs w:val="20"/>
        </w:rPr>
        <w:t>c</w:t>
      </w:r>
      <w:r w:rsidRPr="007C420B">
        <w:rPr>
          <w:rFonts w:cs="Times New Roman"/>
          <w:sz w:val="20"/>
          <w:szCs w:val="20"/>
          <w:vertAlign w:val="subscript"/>
        </w:rPr>
        <w:t>σ</w:t>
      </w:r>
      <w:r w:rsidRPr="007C420B">
        <w:rPr>
          <w:rFonts w:cs="Times New Roman"/>
          <w:sz w:val="20"/>
          <w:szCs w:val="20"/>
        </w:rPr>
        <w:t xml:space="preserve"> u’</w:t>
      </w:r>
      <w:r w:rsidRPr="007C420B">
        <w:rPr>
          <w:rFonts w:cs="Times New Roman"/>
          <w:sz w:val="20"/>
          <w:szCs w:val="20"/>
          <w:vertAlign w:val="subscript"/>
        </w:rPr>
        <w:t>σ</w:t>
      </w:r>
      <w:r>
        <w:rPr>
          <w:rFonts w:cs="Times New Roman"/>
          <w:sz w:val="20"/>
          <w:szCs w:val="20"/>
          <w:vertAlign w:val="subscript"/>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e>
              </m:mr>
            </m:m>
          </m:e>
        </m:d>
      </m:oMath>
      <w:r>
        <w:rPr>
          <w:rFonts w:cs="Times New Roman"/>
          <w:sz w:val="18"/>
          <w:szCs w:val="18"/>
        </w:rPr>
        <w:t xml:space="preserve">             </w:t>
      </w:r>
      <m:oMath>
        <m:nary>
          <m:naryPr>
            <m:chr m:val="∑"/>
            <m:grow m:val="on"/>
            <m:ctrlPr>
              <w:rPr>
                <w:rFonts w:ascii="Cambria Math" w:hAnsi="Cambria Math"/>
                <w:sz w:val="20"/>
                <w:szCs w:val="20"/>
              </w:rPr>
            </m:ctrlPr>
          </m:naryPr>
          <m:sub>
            <m:r>
              <w:rPr>
                <w:rFonts w:ascii="Cambria Math" w:eastAsia="Cambria Math" w:hAnsi="Cambria Math" w:cs="Cambria Math"/>
                <w:sz w:val="20"/>
                <w:szCs w:val="20"/>
              </w:rPr>
              <m:t>α=0</m:t>
            </m:r>
          </m:sub>
          <m:sup>
            <m:r>
              <w:rPr>
                <w:rFonts w:ascii="Cambria Math" w:eastAsia="Cambria Math" w:hAnsi="Cambria Math" w:cs="Cambria Math"/>
                <w:sz w:val="20"/>
                <w:szCs w:val="20"/>
              </w:rPr>
              <m:t>2</m:t>
            </m:r>
          </m:sup>
          <m:e>
            <m:r>
              <m:rPr>
                <m:sty m:val="p"/>
              </m:rPr>
              <w:rPr>
                <w:rFonts w:ascii="Cambria Math" w:hAnsi="Cambria Math"/>
                <w:sz w:val="20"/>
                <w:szCs w:val="20"/>
              </w:rPr>
              <m:t xml:space="preserve">c </m:t>
            </m:r>
          </m:e>
        </m:nary>
      </m:oMath>
      <w:r w:rsidRPr="007C420B">
        <w:rPr>
          <w:rFonts w:cs="Times New Roman"/>
          <w:sz w:val="20"/>
          <w:szCs w:val="20"/>
          <w:vertAlign w:val="subscript"/>
        </w:rPr>
        <w:t xml:space="preserve"> σ</w:t>
      </w:r>
      <w:r w:rsidRPr="007C420B">
        <w:rPr>
          <w:rFonts w:cs="Times New Roman"/>
          <w:sz w:val="20"/>
          <w:szCs w:val="20"/>
        </w:rPr>
        <w:t xml:space="preserve"> u’</w:t>
      </w:r>
      <w:r w:rsidRPr="007C420B">
        <w:rPr>
          <w:rFonts w:cs="Times New Roman"/>
          <w:sz w:val="20"/>
          <w:szCs w:val="20"/>
          <w:vertAlign w:val="subscript"/>
        </w:rPr>
        <w:t>σ</w:t>
      </w:r>
      <w:r>
        <w:rPr>
          <w:rFonts w:cs="Times New Roman"/>
          <w:b/>
          <w:sz w:val="20"/>
          <w:szCs w:val="20"/>
          <w:vertAlign w:val="subscript"/>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Pr>
          <w:rFonts w:cs="Times New Roman"/>
          <w:sz w:val="18"/>
          <w:szCs w:val="18"/>
        </w:rPr>
        <w:t xml:space="preserve">          </w:t>
      </w:r>
      <m:oMath>
        <m:nary>
          <m:naryPr>
            <m:chr m:val="∑"/>
            <m:grow m:val="on"/>
            <m:ctrlPr>
              <w:rPr>
                <w:rFonts w:ascii="Cambria Math" w:hAnsi="Cambria Math"/>
                <w:sz w:val="20"/>
                <w:szCs w:val="20"/>
              </w:rPr>
            </m:ctrlPr>
          </m:naryPr>
          <m:sub>
            <m:r>
              <w:rPr>
                <w:rFonts w:ascii="Cambria Math" w:eastAsia="Cambria Math" w:hAnsi="Cambria Math" w:cs="Cambria Math"/>
                <w:sz w:val="20"/>
                <w:szCs w:val="20"/>
              </w:rPr>
              <m:t>α=0</m:t>
            </m:r>
          </m:sub>
          <m:sup>
            <m:r>
              <w:rPr>
                <w:rFonts w:ascii="Cambria Math" w:eastAsia="Cambria Math" w:hAnsi="Cambria Math" w:cs="Cambria Math"/>
                <w:sz w:val="20"/>
                <w:szCs w:val="20"/>
              </w:rPr>
              <m:t>3</m:t>
            </m:r>
          </m:sup>
          <m:e>
            <m:r>
              <m:rPr>
                <m:sty m:val="p"/>
              </m:rPr>
              <w:rPr>
                <w:rFonts w:ascii="Cambria Math" w:hAnsi="Cambria Math"/>
                <w:sz w:val="20"/>
                <w:szCs w:val="20"/>
              </w:rPr>
              <m:t xml:space="preserve">c </m:t>
            </m:r>
          </m:e>
        </m:nary>
      </m:oMath>
      <w:r w:rsidRPr="007C420B">
        <w:rPr>
          <w:rFonts w:cs="Times New Roman"/>
          <w:sz w:val="20"/>
          <w:szCs w:val="20"/>
          <w:vertAlign w:val="subscript"/>
        </w:rPr>
        <w:t xml:space="preserve"> σ</w:t>
      </w:r>
      <w:r w:rsidRPr="007C420B">
        <w:rPr>
          <w:rFonts w:cs="Times New Roman"/>
          <w:sz w:val="20"/>
          <w:szCs w:val="20"/>
        </w:rPr>
        <w:t xml:space="preserve"> u’</w:t>
      </w:r>
      <w:r w:rsidRPr="007C420B">
        <w:rPr>
          <w:rFonts w:cs="Times New Roman"/>
          <w:sz w:val="20"/>
          <w:szCs w:val="20"/>
          <w:vertAlign w:val="subscript"/>
        </w:rPr>
        <w:t>σ</w:t>
      </w:r>
      <w:r>
        <w:rPr>
          <w:rFonts w:cs="Times New Roman"/>
          <w:b/>
          <w:sz w:val="20"/>
          <w:szCs w:val="20"/>
          <w:vertAlign w:val="subscript"/>
        </w:rPr>
        <w:t> :</w:t>
      </w:r>
      <w:r>
        <w:rPr>
          <w:rFonts w:cs="Times New Roman"/>
          <w:sz w:val="18"/>
          <w:szCs w:val="18"/>
        </w:rPr>
        <w:t xml:space="preserve">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 xml:space="preserve">   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Pr>
          <w:rFonts w:cs="Times New Roman"/>
          <w:sz w:val="18"/>
          <w:szCs w:val="18"/>
        </w:rPr>
        <w:t xml:space="preserve"> = Matrice A centrée</w:t>
      </w:r>
    </w:p>
    <w:p w:rsidR="00CE0E9A" w:rsidRDefault="00CE0E9A" w:rsidP="007C420B">
      <w:pPr>
        <w:jc w:val="center"/>
        <w:rPr>
          <w:rFonts w:cs="Times New Roman"/>
          <w:sz w:val="18"/>
          <w:szCs w:val="18"/>
        </w:rPr>
      </w:pPr>
    </w:p>
    <w:p w:rsidR="00CE0E9A" w:rsidRDefault="00CE0E9A" w:rsidP="00CE0E9A">
      <w:pPr>
        <w:rPr>
          <w:color w:val="FF0000"/>
          <w:sz w:val="20"/>
          <w:szCs w:val="20"/>
        </w:rPr>
      </w:pPr>
    </w:p>
    <w:p w:rsidR="00844A8B" w:rsidRDefault="00844A8B" w:rsidP="00CE0E9A">
      <w:pPr>
        <w:rPr>
          <w:color w:val="FF0000"/>
          <w:sz w:val="20"/>
          <w:szCs w:val="20"/>
        </w:rPr>
      </w:pPr>
    </w:p>
    <w:p w:rsidR="00CE0E9A" w:rsidRDefault="00CE0E9A" w:rsidP="00CE0E9A">
      <w:pPr>
        <w:ind w:firstLine="708"/>
        <w:rPr>
          <w:b/>
          <w:bCs/>
          <w:color w:val="632423" w:themeColor="accent2" w:themeShade="80"/>
          <w:szCs w:val="24"/>
          <w:u w:val="single"/>
        </w:rPr>
      </w:pPr>
      <w:r>
        <w:rPr>
          <w:b/>
          <w:color w:val="632423" w:themeColor="accent2" w:themeShade="80"/>
          <w:szCs w:val="24"/>
          <w:u w:val="single"/>
        </w:rPr>
        <w:t>Exercice II.2</w:t>
      </w:r>
      <w:r w:rsidRPr="002434AD">
        <w:rPr>
          <w:b/>
          <w:color w:val="632423" w:themeColor="accent2" w:themeShade="80"/>
          <w:szCs w:val="24"/>
          <w:u w:val="single"/>
        </w:rPr>
        <w:t xml:space="preserve"> : </w:t>
      </w:r>
      <w:r w:rsidRPr="00CE0E9A">
        <w:rPr>
          <w:b/>
          <w:bCs/>
          <w:color w:val="632423" w:themeColor="accent2" w:themeShade="80"/>
          <w:szCs w:val="24"/>
          <w:u w:val="single"/>
        </w:rPr>
        <w:t>Traitements des données Crabs</w:t>
      </w:r>
    </w:p>
    <w:p w:rsidR="00CE677B" w:rsidRDefault="00CE677B" w:rsidP="00CE677B">
      <w:pPr>
        <w:ind w:left="360"/>
        <w:rPr>
          <w:sz w:val="20"/>
          <w:szCs w:val="20"/>
        </w:rPr>
      </w:pPr>
    </w:p>
    <w:p w:rsidR="00CE677B" w:rsidRPr="004408A3" w:rsidRDefault="00CE677B" w:rsidP="00CE677B">
      <w:pPr>
        <w:ind w:firstLine="360"/>
        <w:rPr>
          <w:sz w:val="22"/>
        </w:rPr>
      </w:pPr>
      <w:r w:rsidRPr="004408A3">
        <w:rPr>
          <w:sz w:val="22"/>
        </w:rPr>
        <w:t>Le but de l’exercice est d’utiliser l’ACP pour trouver une représentation des crabes qui permettent de distinguer visuellement différents groupes, liés à l’espèce et au sexe.</w:t>
      </w:r>
    </w:p>
    <w:p w:rsidR="00CF36C2" w:rsidRPr="004408A3" w:rsidRDefault="00CF36C2" w:rsidP="00CF36C2">
      <w:pPr>
        <w:rPr>
          <w:b/>
          <w:bCs/>
          <w:color w:val="632423" w:themeColor="accent2" w:themeShade="80"/>
          <w:sz w:val="22"/>
          <w:u w:val="single"/>
        </w:rPr>
      </w:pPr>
    </w:p>
    <w:p w:rsidR="00CF36C2" w:rsidRPr="004408A3" w:rsidRDefault="00CF36C2" w:rsidP="00CF36C2">
      <w:pPr>
        <w:pStyle w:val="Paragraphedeliste"/>
        <w:numPr>
          <w:ilvl w:val="0"/>
          <w:numId w:val="7"/>
        </w:numPr>
        <w:rPr>
          <w:sz w:val="22"/>
        </w:rPr>
      </w:pPr>
      <w:r w:rsidRPr="004408A3">
        <w:rPr>
          <w:b/>
          <w:sz w:val="22"/>
        </w:rPr>
        <w:t>ACP sans traitement préalable</w:t>
      </w:r>
    </w:p>
    <w:p w:rsidR="00CF36C2" w:rsidRPr="00BF7C26" w:rsidRDefault="00CF36C2" w:rsidP="00CF36C2">
      <w:pPr>
        <w:rPr>
          <w:sz w:val="18"/>
          <w:szCs w:val="18"/>
        </w:rPr>
      </w:pPr>
    </w:p>
    <w:p w:rsidR="00FA3910" w:rsidRPr="004408A3" w:rsidRDefault="00CF36C2" w:rsidP="00FA3910">
      <w:pPr>
        <w:ind w:firstLine="360"/>
        <w:rPr>
          <w:sz w:val="22"/>
        </w:rPr>
      </w:pPr>
      <w:r w:rsidRPr="004408A3">
        <w:rPr>
          <w:sz w:val="22"/>
        </w:rPr>
        <w:t xml:space="preserve">L’application d’une ACP directement sur le jeu de données brut fait apparaître un problème courant en analyse de données : </w:t>
      </w:r>
      <w:r w:rsidRPr="004408A3">
        <w:rPr>
          <w:b/>
          <w:sz w:val="22"/>
        </w:rPr>
        <w:t>l’effet de taille</w:t>
      </w:r>
      <w:r w:rsidRPr="004408A3">
        <w:rPr>
          <w:sz w:val="22"/>
        </w:rPr>
        <w:t xml:space="preserve">. </w:t>
      </w:r>
    </w:p>
    <w:p w:rsidR="00CF36C2" w:rsidRPr="004408A3" w:rsidRDefault="00CF36C2" w:rsidP="00FA3910">
      <w:pPr>
        <w:ind w:firstLine="360"/>
        <w:rPr>
          <w:sz w:val="22"/>
        </w:rPr>
      </w:pPr>
      <w:r w:rsidRPr="004408A3">
        <w:rPr>
          <w:sz w:val="22"/>
        </w:rPr>
        <w:lastRenderedPageBreak/>
        <w:t xml:space="preserve">En effet, </w:t>
      </w:r>
      <w:r w:rsidR="00FA3910" w:rsidRPr="004408A3">
        <w:rPr>
          <w:sz w:val="22"/>
        </w:rPr>
        <w:t>on remarque que</w:t>
      </w:r>
      <w:r w:rsidRPr="004408A3">
        <w:rPr>
          <w:sz w:val="22"/>
        </w:rPr>
        <w:t xml:space="preserve"> le résultat de l’ACP nous donne un premier</w:t>
      </w:r>
      <w:r w:rsidR="00FA3910" w:rsidRPr="004408A3">
        <w:rPr>
          <w:sz w:val="22"/>
        </w:rPr>
        <w:t xml:space="preserve"> </w:t>
      </w:r>
      <w:r w:rsidRPr="004408A3">
        <w:rPr>
          <w:sz w:val="22"/>
        </w:rPr>
        <w:t>axe factoriel expliquant</w:t>
      </w:r>
      <w:r w:rsidR="00FA3910" w:rsidRPr="004408A3">
        <w:rPr>
          <w:sz w:val="22"/>
        </w:rPr>
        <w:t xml:space="preserve"> 98% du jeu de données. En représentant graphiquement ces données</w:t>
      </w:r>
      <w:r w:rsidRPr="004408A3">
        <w:rPr>
          <w:sz w:val="22"/>
        </w:rPr>
        <w:t>,</w:t>
      </w:r>
      <w:r w:rsidR="00FA3910" w:rsidRPr="004408A3">
        <w:rPr>
          <w:sz w:val="22"/>
        </w:rPr>
        <w:t xml:space="preserve"> </w:t>
      </w:r>
      <w:r w:rsidRPr="004408A3">
        <w:rPr>
          <w:sz w:val="22"/>
        </w:rPr>
        <w:t>on s’</w:t>
      </w:r>
      <w:r w:rsidR="00FA3910" w:rsidRPr="004408A3">
        <w:rPr>
          <w:sz w:val="22"/>
        </w:rPr>
        <w:t>aperçoit</w:t>
      </w:r>
      <w:r w:rsidRPr="004408A3">
        <w:rPr>
          <w:sz w:val="22"/>
        </w:rPr>
        <w:t xml:space="preserve"> qu’il y a clairement </w:t>
      </w:r>
      <w:r w:rsidR="00FA3910" w:rsidRPr="004408A3">
        <w:rPr>
          <w:sz w:val="22"/>
        </w:rPr>
        <w:t xml:space="preserve">proportionnalité entre les caractéristiques quantitatives des différents </w:t>
      </w:r>
      <w:r w:rsidRPr="004408A3">
        <w:rPr>
          <w:sz w:val="22"/>
        </w:rPr>
        <w:t xml:space="preserve">individus. Un crabe ayant un lobe frontal grand aura en toute logique un corps </w:t>
      </w:r>
      <w:r w:rsidR="00FA3910" w:rsidRPr="004408A3">
        <w:rPr>
          <w:sz w:val="22"/>
        </w:rPr>
        <w:t>proportionné en conséquence</w:t>
      </w:r>
      <w:r w:rsidRPr="004408A3">
        <w:rPr>
          <w:sz w:val="22"/>
        </w:rPr>
        <w:t>.</w:t>
      </w:r>
      <w:r w:rsidR="00FA3910" w:rsidRPr="004408A3">
        <w:rPr>
          <w:sz w:val="22"/>
        </w:rPr>
        <w:t xml:space="preserve"> </w:t>
      </w:r>
      <w:r w:rsidRPr="004408A3">
        <w:rPr>
          <w:sz w:val="22"/>
        </w:rPr>
        <w:t>Il existe do</w:t>
      </w:r>
      <w:r w:rsidR="00FA3910" w:rsidRPr="004408A3">
        <w:rPr>
          <w:sz w:val="22"/>
        </w:rPr>
        <w:t>nc une certaine proportionnalité</w:t>
      </w:r>
      <w:r w:rsidRPr="004408A3">
        <w:rPr>
          <w:sz w:val="22"/>
        </w:rPr>
        <w:t xml:space="preserve"> entre l’attribut A d’un petit crabe et l’attribut A</w:t>
      </w:r>
      <w:r w:rsidR="00FA3910" w:rsidRPr="004408A3">
        <w:rPr>
          <w:sz w:val="22"/>
        </w:rPr>
        <w:t xml:space="preserve"> d’un gros crabe, de mê</w:t>
      </w:r>
      <w:r w:rsidRPr="004408A3">
        <w:rPr>
          <w:sz w:val="22"/>
        </w:rPr>
        <w:t xml:space="preserve">me pour les autres attributs. On le voit sur </w:t>
      </w:r>
      <w:r w:rsidR="00FA3910" w:rsidRPr="004408A3">
        <w:rPr>
          <w:sz w:val="22"/>
        </w:rPr>
        <w:t>le graphique suivant obtenu grâce à la fonction « pairs »</w:t>
      </w:r>
      <w:r w:rsidRPr="004408A3">
        <w:rPr>
          <w:sz w:val="22"/>
        </w:rPr>
        <w:t xml:space="preserve"> :</w:t>
      </w:r>
    </w:p>
    <w:p w:rsidR="00CF36C2" w:rsidRDefault="00CF36C2" w:rsidP="00CF36C2">
      <w:pPr>
        <w:rPr>
          <w:sz w:val="20"/>
          <w:szCs w:val="20"/>
        </w:rPr>
      </w:pPr>
    </w:p>
    <w:p w:rsidR="00FA3910" w:rsidRDefault="00FA3910" w:rsidP="00FA3910">
      <w:pPr>
        <w:keepNext/>
        <w:jc w:val="center"/>
      </w:pPr>
      <w:r>
        <w:rPr>
          <w:noProof/>
          <w:sz w:val="20"/>
          <w:szCs w:val="20"/>
        </w:rPr>
        <w:drawing>
          <wp:inline distT="0" distB="0" distL="0" distR="0">
            <wp:extent cx="2314575" cy="2311131"/>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6910" cy="2313463"/>
                    </a:xfrm>
                    <a:prstGeom prst="rect">
                      <a:avLst/>
                    </a:prstGeom>
                    <a:noFill/>
                    <a:ln w="9525">
                      <a:noFill/>
                      <a:miter lim="800000"/>
                      <a:headEnd/>
                      <a:tailEnd/>
                    </a:ln>
                  </pic:spPr>
                </pic:pic>
              </a:graphicData>
            </a:graphic>
          </wp:inline>
        </w:drawing>
      </w:r>
    </w:p>
    <w:p w:rsidR="00CF36C2" w:rsidRDefault="00FA3910" w:rsidP="00FA3910">
      <w:pPr>
        <w:pStyle w:val="Lgende"/>
        <w:jc w:val="center"/>
      </w:pPr>
      <w:r>
        <w:t xml:space="preserve">Figure </w:t>
      </w:r>
      <w:fldSimple w:instr=" SEQ Figure \* ARABIC ">
        <w:r w:rsidR="004408A3">
          <w:rPr>
            <w:noProof/>
          </w:rPr>
          <w:t>4</w:t>
        </w:r>
      </w:fldSimple>
      <w:r>
        <w:t xml:space="preserve"> : Représentation des variables quantitatives</w:t>
      </w:r>
    </w:p>
    <w:p w:rsidR="002A5EE2" w:rsidRPr="004408A3" w:rsidRDefault="00053417" w:rsidP="00053417">
      <w:pPr>
        <w:rPr>
          <w:sz w:val="22"/>
        </w:rPr>
      </w:pPr>
      <w:r w:rsidRPr="004408A3">
        <w:rPr>
          <w:sz w:val="22"/>
        </w:rPr>
        <w:t xml:space="preserve">    </w:t>
      </w:r>
      <w:r w:rsidR="002A5EE2" w:rsidRPr="004408A3">
        <w:rPr>
          <w:sz w:val="22"/>
        </w:rPr>
        <w:t xml:space="preserve">On remarque </w:t>
      </w:r>
      <w:r w:rsidR="000C4673" w:rsidRPr="004408A3">
        <w:rPr>
          <w:sz w:val="22"/>
        </w:rPr>
        <w:t>des lignes de</w:t>
      </w:r>
      <w:r w:rsidR="00DD0F49">
        <w:rPr>
          <w:sz w:val="22"/>
        </w:rPr>
        <w:t xml:space="preserve"> tendance très fortes dans chaque </w:t>
      </w:r>
      <w:r w:rsidR="000C4673" w:rsidRPr="004408A3">
        <w:rPr>
          <w:sz w:val="22"/>
        </w:rPr>
        <w:t>cas.</w:t>
      </w:r>
    </w:p>
    <w:p w:rsidR="00053417" w:rsidRPr="00053417" w:rsidRDefault="00053417" w:rsidP="00053417">
      <w:pPr>
        <w:rPr>
          <w:sz w:val="20"/>
          <w:szCs w:val="20"/>
        </w:rPr>
      </w:pPr>
    </w:p>
    <w:p w:rsidR="000C4673" w:rsidRDefault="007E1722" w:rsidP="00BF7C26">
      <w:pPr>
        <w:keepNext/>
        <w:jc w:val="center"/>
      </w:pPr>
      <w:r>
        <w:rPr>
          <w:noProof/>
        </w:rPr>
        <w:drawing>
          <wp:inline distT="0" distB="0" distL="0" distR="0">
            <wp:extent cx="2695575" cy="2690991"/>
            <wp:effectExtent l="19050" t="0" r="952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99961" cy="2695369"/>
                    </a:xfrm>
                    <a:prstGeom prst="rect">
                      <a:avLst/>
                    </a:prstGeom>
                    <a:noFill/>
                    <a:ln w="9525">
                      <a:noFill/>
                      <a:miter lim="800000"/>
                      <a:headEnd/>
                      <a:tailEnd/>
                    </a:ln>
                  </pic:spPr>
                </pic:pic>
              </a:graphicData>
            </a:graphic>
          </wp:inline>
        </w:drawing>
      </w:r>
    </w:p>
    <w:p w:rsidR="000C4673" w:rsidRPr="002A5EE2" w:rsidRDefault="000C4673" w:rsidP="000C4673">
      <w:pPr>
        <w:pStyle w:val="Lgende"/>
        <w:jc w:val="center"/>
        <w:rPr>
          <w:sz w:val="20"/>
          <w:szCs w:val="20"/>
        </w:rPr>
      </w:pPr>
      <w:r>
        <w:t xml:space="preserve">Figure </w:t>
      </w:r>
      <w:fldSimple w:instr=" SEQ Figure \* ARABIC ">
        <w:r w:rsidR="004408A3">
          <w:rPr>
            <w:noProof/>
          </w:rPr>
          <w:t>5</w:t>
        </w:r>
      </w:fldSimple>
      <w:r>
        <w:t xml:space="preserve"> : Représentation graphique dans le premier plan factoriel</w:t>
      </w:r>
    </w:p>
    <w:p w:rsidR="00DB27D7" w:rsidRPr="004408A3" w:rsidRDefault="00DB27D7" w:rsidP="00053417">
      <w:pPr>
        <w:ind w:firstLine="284"/>
        <w:rPr>
          <w:sz w:val="22"/>
        </w:rPr>
      </w:pPr>
    </w:p>
    <w:p w:rsidR="00CF36C2" w:rsidRPr="004408A3" w:rsidRDefault="00053417" w:rsidP="00053417">
      <w:pPr>
        <w:ind w:firstLine="284"/>
        <w:rPr>
          <w:sz w:val="22"/>
        </w:rPr>
      </w:pPr>
      <w:r w:rsidRPr="004408A3">
        <w:rPr>
          <w:sz w:val="22"/>
        </w:rPr>
        <w:t>Il faut donc trouver une solution pour améliorer la représentation graphique.</w:t>
      </w:r>
    </w:p>
    <w:p w:rsidR="00CF36C2" w:rsidRDefault="00CF36C2" w:rsidP="00CF36C2">
      <w:pPr>
        <w:rPr>
          <w:sz w:val="20"/>
          <w:szCs w:val="20"/>
        </w:rPr>
      </w:pPr>
    </w:p>
    <w:p w:rsidR="00CF36C2" w:rsidRPr="00CF36C2" w:rsidRDefault="00CF36C2" w:rsidP="00CF36C2">
      <w:pPr>
        <w:rPr>
          <w:sz w:val="20"/>
          <w:szCs w:val="20"/>
        </w:rPr>
      </w:pPr>
    </w:p>
    <w:p w:rsidR="00CE0E9A" w:rsidRPr="00B14D14" w:rsidRDefault="00CF36C2" w:rsidP="00CF36C2">
      <w:pPr>
        <w:pStyle w:val="Paragraphedeliste"/>
        <w:numPr>
          <w:ilvl w:val="0"/>
          <w:numId w:val="7"/>
        </w:numPr>
        <w:rPr>
          <w:sz w:val="22"/>
        </w:rPr>
      </w:pPr>
      <w:r w:rsidRPr="00B14D14">
        <w:rPr>
          <w:b/>
          <w:sz w:val="22"/>
        </w:rPr>
        <w:t>ACP avec traitement préalable </w:t>
      </w:r>
    </w:p>
    <w:p w:rsidR="000C4673" w:rsidRPr="00B14D14" w:rsidRDefault="000C4673" w:rsidP="000C4673">
      <w:pPr>
        <w:ind w:left="360"/>
        <w:rPr>
          <w:sz w:val="16"/>
          <w:szCs w:val="16"/>
        </w:rPr>
      </w:pPr>
    </w:p>
    <w:p w:rsidR="00053417" w:rsidRPr="004408A3" w:rsidRDefault="000C4673" w:rsidP="00053417">
      <w:pPr>
        <w:ind w:firstLine="284"/>
        <w:rPr>
          <w:sz w:val="22"/>
        </w:rPr>
      </w:pPr>
      <w:r w:rsidRPr="004408A3">
        <w:rPr>
          <w:sz w:val="22"/>
        </w:rPr>
        <w:t>La solution pour améliorer la qualité de notre représentation en termes de visualisation des différents groupes est d’homogénéiser les données. Pour cela, il faut prendre une des variables puis diviser les autres variables par cette variable. Le facteur de proportionnalité qui existe entre les 5 valeurs d’un même crabe disparait.</w:t>
      </w:r>
      <w:r w:rsidR="00053417" w:rsidRPr="004408A3">
        <w:rPr>
          <w:sz w:val="22"/>
        </w:rPr>
        <w:t xml:space="preserve"> </w:t>
      </w:r>
    </w:p>
    <w:p w:rsidR="00053417" w:rsidRPr="004408A3" w:rsidRDefault="00053417" w:rsidP="00053417">
      <w:pPr>
        <w:ind w:firstLine="284"/>
        <w:rPr>
          <w:sz w:val="22"/>
        </w:rPr>
      </w:pPr>
    </w:p>
    <w:p w:rsidR="000C4673" w:rsidRPr="004408A3" w:rsidRDefault="00053417" w:rsidP="00053417">
      <w:pPr>
        <w:ind w:firstLine="284"/>
        <w:rPr>
          <w:sz w:val="22"/>
        </w:rPr>
      </w:pPr>
      <w:r w:rsidRPr="004408A3">
        <w:rPr>
          <w:sz w:val="22"/>
        </w:rPr>
        <w:t xml:space="preserve">Dans notre cas, nous avons divisé les autres variables avec les valeurs de la variable </w:t>
      </w:r>
      <w:r w:rsidR="00CE677B" w:rsidRPr="004408A3">
        <w:rPr>
          <w:sz w:val="22"/>
        </w:rPr>
        <w:t>« longueur de la carapace »</w:t>
      </w:r>
      <w:r w:rsidRPr="004408A3">
        <w:rPr>
          <w:sz w:val="22"/>
        </w:rPr>
        <w:t xml:space="preserve">. On remarque tout de suite en calculant les inerties expliquées cumulés que la </w:t>
      </w:r>
      <w:r w:rsidRPr="004408A3">
        <w:rPr>
          <w:sz w:val="22"/>
        </w:rPr>
        <w:lastRenderedPageBreak/>
        <w:t>représentation est meilleure. Les deux premiers axes factoriels décrivent maintenant 88%</w:t>
      </w:r>
      <w:r w:rsidR="00B14D14">
        <w:rPr>
          <w:sz w:val="22"/>
        </w:rPr>
        <w:t>,</w:t>
      </w:r>
      <w:r w:rsidRPr="004408A3">
        <w:rPr>
          <w:sz w:val="22"/>
        </w:rPr>
        <w:t xml:space="preserve"> ce qui est très satisfaisant.</w:t>
      </w:r>
    </w:p>
    <w:p w:rsidR="00053417" w:rsidRPr="004408A3" w:rsidRDefault="00053417" w:rsidP="00053417">
      <w:pPr>
        <w:ind w:firstLine="284"/>
        <w:rPr>
          <w:sz w:val="22"/>
        </w:rPr>
      </w:pPr>
      <w:r w:rsidRPr="004408A3">
        <w:rPr>
          <w:sz w:val="22"/>
        </w:rPr>
        <w:t>La différence se voit aussi sur la représentation graphique de toutes les variables obtenues avec la fonction « pairs » :</w:t>
      </w:r>
    </w:p>
    <w:p w:rsidR="00053417" w:rsidRDefault="00053417" w:rsidP="00053417">
      <w:pPr>
        <w:ind w:firstLine="284"/>
        <w:rPr>
          <w:sz w:val="20"/>
          <w:szCs w:val="20"/>
        </w:rPr>
      </w:pPr>
    </w:p>
    <w:p w:rsidR="00053417" w:rsidRDefault="00053417" w:rsidP="00053417">
      <w:pPr>
        <w:keepNext/>
        <w:ind w:firstLine="284"/>
        <w:jc w:val="center"/>
      </w:pPr>
      <w:r>
        <w:rPr>
          <w:noProof/>
          <w:sz w:val="20"/>
          <w:szCs w:val="20"/>
        </w:rPr>
        <w:drawing>
          <wp:inline distT="0" distB="0" distL="0" distR="0">
            <wp:extent cx="2533650" cy="2529879"/>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533231" cy="2529461"/>
                    </a:xfrm>
                    <a:prstGeom prst="rect">
                      <a:avLst/>
                    </a:prstGeom>
                    <a:noFill/>
                    <a:ln w="9525">
                      <a:noFill/>
                      <a:miter lim="800000"/>
                      <a:headEnd/>
                      <a:tailEnd/>
                    </a:ln>
                  </pic:spPr>
                </pic:pic>
              </a:graphicData>
            </a:graphic>
          </wp:inline>
        </w:drawing>
      </w:r>
    </w:p>
    <w:p w:rsidR="00053417" w:rsidRDefault="00053417" w:rsidP="00053417">
      <w:pPr>
        <w:pStyle w:val="Lgende"/>
        <w:jc w:val="center"/>
        <w:rPr>
          <w:sz w:val="20"/>
          <w:szCs w:val="20"/>
        </w:rPr>
      </w:pPr>
      <w:r>
        <w:t xml:space="preserve">Figure </w:t>
      </w:r>
      <w:fldSimple w:instr=" SEQ Figure \* ARABIC ">
        <w:r>
          <w:rPr>
            <w:noProof/>
          </w:rPr>
          <w:t>4</w:t>
        </w:r>
      </w:fldSimple>
      <w:r>
        <w:t xml:space="preserve"> : Représentation graphique des données après traitement</w:t>
      </w:r>
    </w:p>
    <w:p w:rsidR="00053417" w:rsidRDefault="00053417" w:rsidP="00F36C48">
      <w:pPr>
        <w:ind w:firstLine="284"/>
        <w:jc w:val="left"/>
        <w:rPr>
          <w:sz w:val="22"/>
        </w:rPr>
      </w:pPr>
      <w:r w:rsidRPr="004408A3">
        <w:rPr>
          <w:sz w:val="22"/>
        </w:rPr>
        <w:t xml:space="preserve">On remarque que </w:t>
      </w:r>
      <w:r w:rsidR="00CE677B" w:rsidRPr="004408A3">
        <w:rPr>
          <w:sz w:val="22"/>
        </w:rPr>
        <w:t xml:space="preserve">les </w:t>
      </w:r>
      <w:r w:rsidR="00DB27D7" w:rsidRPr="004408A3">
        <w:rPr>
          <w:sz w:val="22"/>
        </w:rPr>
        <w:t>lignes</w:t>
      </w:r>
      <w:r w:rsidR="00CE677B" w:rsidRPr="004408A3">
        <w:rPr>
          <w:sz w:val="22"/>
        </w:rPr>
        <w:t xml:space="preserve"> de tendance ont disparu et des nuages de point ont apparu.</w:t>
      </w:r>
    </w:p>
    <w:p w:rsidR="007E1722" w:rsidRDefault="007E1722" w:rsidP="007E1722">
      <w:pPr>
        <w:ind w:firstLine="284"/>
        <w:jc w:val="center"/>
        <w:rPr>
          <w:sz w:val="22"/>
        </w:rPr>
      </w:pPr>
      <w:r>
        <w:rPr>
          <w:noProof/>
          <w:sz w:val="22"/>
        </w:rPr>
        <w:drawing>
          <wp:inline distT="0" distB="0" distL="0" distR="0">
            <wp:extent cx="2657475" cy="2652956"/>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64925" cy="2660393"/>
                    </a:xfrm>
                    <a:prstGeom prst="rect">
                      <a:avLst/>
                    </a:prstGeom>
                    <a:noFill/>
                    <a:ln w="9525">
                      <a:noFill/>
                      <a:miter lim="800000"/>
                      <a:headEnd/>
                      <a:tailEnd/>
                    </a:ln>
                  </pic:spPr>
                </pic:pic>
              </a:graphicData>
            </a:graphic>
          </wp:inline>
        </w:drawing>
      </w:r>
    </w:p>
    <w:p w:rsidR="00815119" w:rsidRDefault="00295DF1" w:rsidP="00815119">
      <w:pPr>
        <w:ind w:firstLine="284"/>
        <w:jc w:val="left"/>
        <w:rPr>
          <w:sz w:val="22"/>
        </w:rPr>
      </w:pPr>
      <w:r>
        <w:rPr>
          <w:sz w:val="22"/>
        </w:rPr>
        <w:t>Grâce à ces modifications, l</w:t>
      </w:r>
      <w:r w:rsidR="00815119">
        <w:rPr>
          <w:sz w:val="22"/>
        </w:rPr>
        <w:t>a repré</w:t>
      </w:r>
      <w:r w:rsidR="00815119" w:rsidRPr="00815119">
        <w:rPr>
          <w:sz w:val="22"/>
        </w:rPr>
        <w:t>sentation dans le premier plan factoriel permet de</w:t>
      </w:r>
      <w:r w:rsidR="00815119">
        <w:rPr>
          <w:sz w:val="22"/>
        </w:rPr>
        <w:t xml:space="preserve"> clairement distinguer et l’espèce et le sexe d’un crabe donné</w:t>
      </w:r>
      <w:r w:rsidR="00815119" w:rsidRPr="00815119">
        <w:rPr>
          <w:sz w:val="22"/>
        </w:rPr>
        <w:t>.</w:t>
      </w:r>
    </w:p>
    <w:p w:rsidR="00501049" w:rsidRDefault="00501049" w:rsidP="00815119">
      <w:pPr>
        <w:ind w:firstLine="284"/>
        <w:jc w:val="left"/>
        <w:rPr>
          <w:sz w:val="22"/>
        </w:rPr>
      </w:pPr>
    </w:p>
    <w:p w:rsidR="00501049" w:rsidRPr="004408A3" w:rsidRDefault="00501049" w:rsidP="00815119">
      <w:pPr>
        <w:ind w:firstLine="284"/>
        <w:jc w:val="left"/>
        <w:rPr>
          <w:sz w:val="22"/>
        </w:rPr>
      </w:pPr>
    </w:p>
    <w:sectPr w:rsidR="00501049" w:rsidRPr="004408A3" w:rsidSect="00FD3ABB">
      <w:headerReference w:type="default" r:id="rId17"/>
      <w:footerReference w:type="default" r:id="rId18"/>
      <w:pgSz w:w="11906" w:h="16838"/>
      <w:pgMar w:top="683" w:right="1417" w:bottom="1417" w:left="1417"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0BD" w:rsidRDefault="009660BD" w:rsidP="00781E94">
      <w:r>
        <w:separator/>
      </w:r>
    </w:p>
  </w:endnote>
  <w:endnote w:type="continuationSeparator" w:id="1">
    <w:p w:rsidR="009660BD" w:rsidRDefault="009660BD" w:rsidP="00781E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E94" w:rsidRPr="002A5219" w:rsidRDefault="00781E94">
    <w:pPr>
      <w:pStyle w:val="Pieddepage"/>
      <w:pBdr>
        <w:top w:val="thinThickSmallGap" w:sz="24" w:space="1" w:color="622423" w:themeColor="accent2" w:themeShade="7F"/>
      </w:pBdr>
      <w:rPr>
        <w:rFonts w:asciiTheme="majorHAnsi" w:hAnsiTheme="majorHAnsi"/>
        <w:sz w:val="22"/>
      </w:rPr>
    </w:pPr>
    <w:r w:rsidRPr="002A5219">
      <w:rPr>
        <w:rFonts w:asciiTheme="majorHAnsi" w:hAnsiTheme="majorHAnsi"/>
        <w:sz w:val="22"/>
      </w:rPr>
      <w:t>Doriane PIVERT – Jean-Guillaume S</w:t>
    </w:r>
    <w:r w:rsidR="00E36F90">
      <w:rPr>
        <w:rFonts w:asciiTheme="majorHAnsi" w:hAnsiTheme="majorHAnsi"/>
        <w:sz w:val="22"/>
      </w:rPr>
      <w:t>TURZENEGGER</w:t>
    </w:r>
    <w:r w:rsidRPr="002A5219">
      <w:rPr>
        <w:rFonts w:asciiTheme="majorHAnsi" w:hAnsiTheme="majorHAnsi"/>
        <w:sz w:val="22"/>
      </w:rPr>
      <w:ptab w:relativeTo="margin" w:alignment="right" w:leader="none"/>
    </w:r>
    <w:r w:rsidRPr="002A5219">
      <w:rPr>
        <w:rFonts w:asciiTheme="majorHAnsi" w:hAnsiTheme="majorHAnsi"/>
        <w:sz w:val="22"/>
      </w:rPr>
      <w:t xml:space="preserve">Page </w:t>
    </w:r>
    <w:r w:rsidR="002B16AF" w:rsidRPr="002A5219">
      <w:rPr>
        <w:sz w:val="22"/>
      </w:rPr>
      <w:fldChar w:fldCharType="begin"/>
    </w:r>
    <w:r w:rsidR="003D2523" w:rsidRPr="002A5219">
      <w:rPr>
        <w:sz w:val="22"/>
      </w:rPr>
      <w:instrText xml:space="preserve"> PAGE   \* MERGEFORMAT </w:instrText>
    </w:r>
    <w:r w:rsidR="002B16AF" w:rsidRPr="002A5219">
      <w:rPr>
        <w:sz w:val="22"/>
      </w:rPr>
      <w:fldChar w:fldCharType="separate"/>
    </w:r>
    <w:r w:rsidR="00DD0F49" w:rsidRPr="00DD0F49">
      <w:rPr>
        <w:rFonts w:asciiTheme="majorHAnsi" w:hAnsiTheme="majorHAnsi"/>
        <w:noProof/>
        <w:sz w:val="22"/>
      </w:rPr>
      <w:t>6</w:t>
    </w:r>
    <w:r w:rsidR="002B16AF" w:rsidRPr="002A5219">
      <w:rPr>
        <w:sz w:val="22"/>
      </w:rPr>
      <w:fldChar w:fldCharType="end"/>
    </w:r>
  </w:p>
  <w:p w:rsidR="00781E94" w:rsidRDefault="00781E9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0BD" w:rsidRDefault="009660BD" w:rsidP="00781E94">
      <w:r>
        <w:separator/>
      </w:r>
    </w:p>
  </w:footnote>
  <w:footnote w:type="continuationSeparator" w:id="1">
    <w:p w:rsidR="009660BD" w:rsidRDefault="009660BD" w:rsidP="00781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2"/>
      </w:rPr>
      <w:alias w:val="Titre"/>
      <w:id w:val="930146"/>
      <w:placeholder>
        <w:docPart w:val="9EB82210A395499B9FA7D6F7A0B591D2"/>
      </w:placeholder>
      <w:dataBinding w:prefixMappings="xmlns:ns0='http://schemas.openxmlformats.org/package/2006/metadata/core-properties' xmlns:ns1='http://purl.org/dc/elements/1.1/'" w:xpath="/ns0:coreProperties[1]/ns1:title[1]" w:storeItemID="{6C3C8BC8-F283-45AE-878A-BAB7291924A1}"/>
      <w:text/>
    </w:sdtPr>
    <w:sdtContent>
      <w:p w:rsidR="00781E94" w:rsidRPr="002A5219" w:rsidRDefault="00781E94">
        <w:pPr>
          <w:pStyle w:val="En-tte"/>
          <w:pBdr>
            <w:bottom w:val="thickThinSmallGap" w:sz="24" w:space="1" w:color="622423" w:themeColor="accent2" w:themeShade="7F"/>
          </w:pBdr>
          <w:jc w:val="center"/>
          <w:rPr>
            <w:rFonts w:asciiTheme="majorHAnsi" w:eastAsiaTheme="majorEastAsia" w:hAnsiTheme="majorHAnsi" w:cstheme="majorBidi"/>
            <w:sz w:val="22"/>
          </w:rPr>
        </w:pPr>
        <w:r w:rsidRPr="002A5219">
          <w:rPr>
            <w:rFonts w:asciiTheme="majorHAnsi" w:eastAsiaTheme="majorEastAsia" w:hAnsiTheme="majorHAnsi" w:cstheme="majorBidi"/>
            <w:sz w:val="22"/>
          </w:rPr>
          <w:t>Compte rendu TP1 – 01/04/09</w:t>
        </w:r>
      </w:p>
    </w:sdtContent>
  </w:sdt>
  <w:p w:rsidR="00781E94" w:rsidRDefault="00781E9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763"/>
    <w:multiLevelType w:val="hybridMultilevel"/>
    <w:tmpl w:val="62EC8A0E"/>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5B59BD"/>
    <w:multiLevelType w:val="hybridMultilevel"/>
    <w:tmpl w:val="077EAD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E63976"/>
    <w:multiLevelType w:val="hybridMultilevel"/>
    <w:tmpl w:val="47224AFE"/>
    <w:lvl w:ilvl="0" w:tplc="6868EE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B30052"/>
    <w:multiLevelType w:val="hybridMultilevel"/>
    <w:tmpl w:val="2F1A7FA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C1F68"/>
    <w:multiLevelType w:val="hybridMultilevel"/>
    <w:tmpl w:val="7DEE7842"/>
    <w:lvl w:ilvl="0" w:tplc="4E744662">
      <w:start w:val="2"/>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7C12024F"/>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7650">
      <o:colormenu v:ext="edit" strokecolor="none [2405]"/>
    </o:shapedefaults>
  </w:hdrShapeDefaults>
  <w:footnotePr>
    <w:footnote w:id="0"/>
    <w:footnote w:id="1"/>
  </w:footnotePr>
  <w:endnotePr>
    <w:endnote w:id="0"/>
    <w:endnote w:id="1"/>
  </w:endnotePr>
  <w:compat/>
  <w:rsids>
    <w:rsidRoot w:val="00781E94"/>
    <w:rsid w:val="0001249E"/>
    <w:rsid w:val="00042A24"/>
    <w:rsid w:val="00053417"/>
    <w:rsid w:val="000C4673"/>
    <w:rsid w:val="000D0042"/>
    <w:rsid w:val="000E23E4"/>
    <w:rsid w:val="00124A32"/>
    <w:rsid w:val="00160A80"/>
    <w:rsid w:val="00160A89"/>
    <w:rsid w:val="001A1D23"/>
    <w:rsid w:val="001E09C9"/>
    <w:rsid w:val="001F5A96"/>
    <w:rsid w:val="00227B18"/>
    <w:rsid w:val="00240EB6"/>
    <w:rsid w:val="002434AD"/>
    <w:rsid w:val="0027401E"/>
    <w:rsid w:val="00295DF1"/>
    <w:rsid w:val="002A5219"/>
    <w:rsid w:val="002A5EE2"/>
    <w:rsid w:val="002A7935"/>
    <w:rsid w:val="002B16AF"/>
    <w:rsid w:val="002C1DFC"/>
    <w:rsid w:val="002D791F"/>
    <w:rsid w:val="002E3AB3"/>
    <w:rsid w:val="00303868"/>
    <w:rsid w:val="00351001"/>
    <w:rsid w:val="00361AA2"/>
    <w:rsid w:val="00373258"/>
    <w:rsid w:val="00375D6B"/>
    <w:rsid w:val="00377BDB"/>
    <w:rsid w:val="003908CA"/>
    <w:rsid w:val="003951C7"/>
    <w:rsid w:val="003D2523"/>
    <w:rsid w:val="00413489"/>
    <w:rsid w:val="0044026C"/>
    <w:rsid w:val="004408A3"/>
    <w:rsid w:val="00454443"/>
    <w:rsid w:val="00497774"/>
    <w:rsid w:val="004B018E"/>
    <w:rsid w:val="004C3F14"/>
    <w:rsid w:val="004D156F"/>
    <w:rsid w:val="00501049"/>
    <w:rsid w:val="00507E0F"/>
    <w:rsid w:val="0053620A"/>
    <w:rsid w:val="0057749D"/>
    <w:rsid w:val="005A71D1"/>
    <w:rsid w:val="005B1BA9"/>
    <w:rsid w:val="005B42CB"/>
    <w:rsid w:val="005C2119"/>
    <w:rsid w:val="005D25BE"/>
    <w:rsid w:val="005E112A"/>
    <w:rsid w:val="005E4F91"/>
    <w:rsid w:val="005E51CA"/>
    <w:rsid w:val="005F18C2"/>
    <w:rsid w:val="006214F9"/>
    <w:rsid w:val="0062465D"/>
    <w:rsid w:val="00637A50"/>
    <w:rsid w:val="00661F16"/>
    <w:rsid w:val="00694021"/>
    <w:rsid w:val="006A0715"/>
    <w:rsid w:val="006A7BF6"/>
    <w:rsid w:val="006B2C27"/>
    <w:rsid w:val="006B70C7"/>
    <w:rsid w:val="006C1C88"/>
    <w:rsid w:val="006E2F11"/>
    <w:rsid w:val="006F6DD9"/>
    <w:rsid w:val="006F777E"/>
    <w:rsid w:val="00723247"/>
    <w:rsid w:val="007628F3"/>
    <w:rsid w:val="00780AF9"/>
    <w:rsid w:val="00781E94"/>
    <w:rsid w:val="007834F3"/>
    <w:rsid w:val="0079325C"/>
    <w:rsid w:val="007A3225"/>
    <w:rsid w:val="007A3B82"/>
    <w:rsid w:val="007B03A2"/>
    <w:rsid w:val="007C3828"/>
    <w:rsid w:val="007C420B"/>
    <w:rsid w:val="007E1722"/>
    <w:rsid w:val="00811CB1"/>
    <w:rsid w:val="00815119"/>
    <w:rsid w:val="00844A8B"/>
    <w:rsid w:val="00852A63"/>
    <w:rsid w:val="0087413D"/>
    <w:rsid w:val="008829A9"/>
    <w:rsid w:val="008C0F77"/>
    <w:rsid w:val="008D3E5F"/>
    <w:rsid w:val="008E007D"/>
    <w:rsid w:val="008E4EF0"/>
    <w:rsid w:val="008E68EB"/>
    <w:rsid w:val="00906770"/>
    <w:rsid w:val="009463E6"/>
    <w:rsid w:val="00952ED9"/>
    <w:rsid w:val="00962A8D"/>
    <w:rsid w:val="0096428F"/>
    <w:rsid w:val="009660BD"/>
    <w:rsid w:val="009D3E4D"/>
    <w:rsid w:val="00A16E33"/>
    <w:rsid w:val="00A16F7F"/>
    <w:rsid w:val="00A458A4"/>
    <w:rsid w:val="00A47B33"/>
    <w:rsid w:val="00A57D12"/>
    <w:rsid w:val="00AA080D"/>
    <w:rsid w:val="00AB7224"/>
    <w:rsid w:val="00AC42A8"/>
    <w:rsid w:val="00B14D14"/>
    <w:rsid w:val="00B505FF"/>
    <w:rsid w:val="00B51789"/>
    <w:rsid w:val="00B517E5"/>
    <w:rsid w:val="00BA7E52"/>
    <w:rsid w:val="00BB0CD6"/>
    <w:rsid w:val="00BC2413"/>
    <w:rsid w:val="00BE0FBE"/>
    <w:rsid w:val="00BF7C26"/>
    <w:rsid w:val="00C101D8"/>
    <w:rsid w:val="00C35D74"/>
    <w:rsid w:val="00C5211E"/>
    <w:rsid w:val="00CE0E9A"/>
    <w:rsid w:val="00CE677B"/>
    <w:rsid w:val="00CF36C2"/>
    <w:rsid w:val="00D10235"/>
    <w:rsid w:val="00D16DFB"/>
    <w:rsid w:val="00D73B6B"/>
    <w:rsid w:val="00DB27D7"/>
    <w:rsid w:val="00DC0A7D"/>
    <w:rsid w:val="00DD0F49"/>
    <w:rsid w:val="00DE19E8"/>
    <w:rsid w:val="00E36F90"/>
    <w:rsid w:val="00E376E0"/>
    <w:rsid w:val="00E60585"/>
    <w:rsid w:val="00E74100"/>
    <w:rsid w:val="00EB20B9"/>
    <w:rsid w:val="00EB5398"/>
    <w:rsid w:val="00ED02E0"/>
    <w:rsid w:val="00EF1931"/>
    <w:rsid w:val="00F23FC0"/>
    <w:rsid w:val="00F321F5"/>
    <w:rsid w:val="00F36C48"/>
    <w:rsid w:val="00F420FF"/>
    <w:rsid w:val="00F5796E"/>
    <w:rsid w:val="00FA3910"/>
    <w:rsid w:val="00FD03E3"/>
    <w:rsid w:val="00FD3ABB"/>
    <w:rsid w:val="00FE70E3"/>
    <w:rsid w:val="00FE7E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2405]"/>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DD9"/>
    <w:pPr>
      <w:spacing w:after="0" w:line="240" w:lineRule="auto"/>
      <w:jc w:val="both"/>
    </w:pPr>
    <w:rPr>
      <w:rFonts w:ascii="Times New Roman" w:eastAsiaTheme="minorEastAsia" w:hAnsi="Times New Roman"/>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E94"/>
    <w:pPr>
      <w:tabs>
        <w:tab w:val="center" w:pos="4536"/>
        <w:tab w:val="right" w:pos="9072"/>
      </w:tabs>
    </w:pPr>
  </w:style>
  <w:style w:type="character" w:customStyle="1" w:styleId="En-tteCar">
    <w:name w:val="En-tête Car"/>
    <w:basedOn w:val="Policepardfaut"/>
    <w:link w:val="En-tte"/>
    <w:uiPriority w:val="99"/>
    <w:rsid w:val="00781E94"/>
    <w:rPr>
      <w:rFonts w:ascii="Times New Roman" w:eastAsiaTheme="minorEastAsia" w:hAnsi="Times New Roman"/>
      <w:sz w:val="24"/>
      <w:lang w:eastAsia="fr-FR"/>
    </w:rPr>
  </w:style>
  <w:style w:type="paragraph" w:styleId="Pieddepage">
    <w:name w:val="footer"/>
    <w:basedOn w:val="Normal"/>
    <w:link w:val="PieddepageCar"/>
    <w:uiPriority w:val="99"/>
    <w:unhideWhenUsed/>
    <w:rsid w:val="00781E94"/>
    <w:pPr>
      <w:tabs>
        <w:tab w:val="center" w:pos="4536"/>
        <w:tab w:val="right" w:pos="9072"/>
      </w:tabs>
    </w:pPr>
  </w:style>
  <w:style w:type="character" w:customStyle="1" w:styleId="PieddepageCar">
    <w:name w:val="Pied de page Car"/>
    <w:basedOn w:val="Policepardfaut"/>
    <w:link w:val="Pieddepage"/>
    <w:uiPriority w:val="99"/>
    <w:rsid w:val="00781E94"/>
    <w:rPr>
      <w:rFonts w:ascii="Times New Roman" w:eastAsiaTheme="minorEastAsia" w:hAnsi="Times New Roman"/>
      <w:sz w:val="24"/>
      <w:lang w:eastAsia="fr-FR"/>
    </w:rPr>
  </w:style>
  <w:style w:type="paragraph" w:styleId="Textedebulles">
    <w:name w:val="Balloon Text"/>
    <w:basedOn w:val="Normal"/>
    <w:link w:val="TextedebullesCar"/>
    <w:uiPriority w:val="99"/>
    <w:semiHidden/>
    <w:unhideWhenUsed/>
    <w:rsid w:val="00781E94"/>
    <w:rPr>
      <w:rFonts w:ascii="Tahoma" w:hAnsi="Tahoma" w:cs="Tahoma"/>
      <w:sz w:val="16"/>
      <w:szCs w:val="16"/>
    </w:rPr>
  </w:style>
  <w:style w:type="character" w:customStyle="1" w:styleId="TextedebullesCar">
    <w:name w:val="Texte de bulles Car"/>
    <w:basedOn w:val="Policepardfaut"/>
    <w:link w:val="Textedebulles"/>
    <w:uiPriority w:val="99"/>
    <w:semiHidden/>
    <w:rsid w:val="00781E94"/>
    <w:rPr>
      <w:rFonts w:ascii="Tahoma" w:eastAsiaTheme="minorEastAsia" w:hAnsi="Tahoma" w:cs="Tahoma"/>
      <w:sz w:val="16"/>
      <w:szCs w:val="16"/>
      <w:lang w:eastAsia="fr-FR"/>
    </w:rPr>
  </w:style>
  <w:style w:type="character" w:styleId="Rfrenceintense">
    <w:name w:val="Intense Reference"/>
    <w:basedOn w:val="Policepardfaut"/>
    <w:uiPriority w:val="32"/>
    <w:qFormat/>
    <w:rsid w:val="008D3E5F"/>
    <w:rPr>
      <w:b/>
      <w:bCs/>
      <w:smallCaps/>
      <w:color w:val="C0504D" w:themeColor="accent2"/>
      <w:spacing w:val="5"/>
      <w:u w:val="single"/>
    </w:rPr>
  </w:style>
  <w:style w:type="paragraph" w:styleId="Paragraphedeliste">
    <w:name w:val="List Paragraph"/>
    <w:basedOn w:val="Normal"/>
    <w:uiPriority w:val="34"/>
    <w:qFormat/>
    <w:rsid w:val="008D3E5F"/>
    <w:pPr>
      <w:ind w:left="720"/>
      <w:contextualSpacing/>
    </w:pPr>
  </w:style>
  <w:style w:type="character" w:styleId="Textedelespacerserv">
    <w:name w:val="Placeholder Text"/>
    <w:basedOn w:val="Policepardfaut"/>
    <w:uiPriority w:val="99"/>
    <w:semiHidden/>
    <w:rsid w:val="00227B18"/>
    <w:rPr>
      <w:color w:val="808080"/>
    </w:rPr>
  </w:style>
  <w:style w:type="paragraph" w:styleId="Lgende">
    <w:name w:val="caption"/>
    <w:basedOn w:val="Normal"/>
    <w:next w:val="Normal"/>
    <w:uiPriority w:val="35"/>
    <w:unhideWhenUsed/>
    <w:qFormat/>
    <w:rsid w:val="006214F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69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B82210A395499B9FA7D6F7A0B591D2"/>
        <w:category>
          <w:name w:val="Général"/>
          <w:gallery w:val="placeholder"/>
        </w:category>
        <w:types>
          <w:type w:val="bbPlcHdr"/>
        </w:types>
        <w:behaviors>
          <w:behavior w:val="content"/>
        </w:behaviors>
        <w:guid w:val="{C4980632-ABE9-43CC-AF4C-4BF7EC54D5B1}"/>
      </w:docPartPr>
      <w:docPartBody>
        <w:p w:rsidR="000B2D57" w:rsidRDefault="008A59D3" w:rsidP="008A59D3">
          <w:pPr>
            <w:pStyle w:val="9EB82210A395499B9FA7D6F7A0B591D2"/>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59D3"/>
    <w:rsid w:val="000B2D57"/>
    <w:rsid w:val="000F711B"/>
    <w:rsid w:val="0010344A"/>
    <w:rsid w:val="002A48A3"/>
    <w:rsid w:val="00432BF5"/>
    <w:rsid w:val="00546E4F"/>
    <w:rsid w:val="005C6479"/>
    <w:rsid w:val="008A59D3"/>
    <w:rsid w:val="009449CC"/>
    <w:rsid w:val="009C7E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5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4E0ADBC9CD4E7FBE2924819ACB9641">
    <w:name w:val="F44E0ADBC9CD4E7FBE2924819ACB9641"/>
    <w:rsid w:val="008A59D3"/>
  </w:style>
  <w:style w:type="paragraph" w:customStyle="1" w:styleId="9EB82210A395499B9FA7D6F7A0B591D2">
    <w:name w:val="9EB82210A395499B9FA7D6F7A0B591D2"/>
    <w:rsid w:val="008A59D3"/>
  </w:style>
  <w:style w:type="character" w:styleId="Textedelespacerserv">
    <w:name w:val="Placeholder Text"/>
    <w:basedOn w:val="Policepardfaut"/>
    <w:uiPriority w:val="99"/>
    <w:semiHidden/>
    <w:rsid w:val="005C647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74EE4-1C02-4729-BC74-DDB75B6B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1545</Words>
  <Characters>8498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Compte rendu TP1 – 01/04/09</vt:lpstr>
    </vt:vector>
  </TitlesOfParts>
  <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TP1 – 01/04/09</dc:title>
  <dc:subject/>
  <dc:creator>Crokette</dc:creator>
  <cp:keywords/>
  <dc:description/>
  <cp:lastModifiedBy>jg</cp:lastModifiedBy>
  <cp:revision>12</cp:revision>
  <dcterms:created xsi:type="dcterms:W3CDTF">2009-03-30T06:26:00Z</dcterms:created>
  <dcterms:modified xsi:type="dcterms:W3CDTF">2009-03-31T14:59:00Z</dcterms:modified>
</cp:coreProperties>
</file>