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0EF" w:rsidRPr="008320EF" w:rsidRDefault="008320EF" w:rsidP="008320EF">
      <w:pPr>
        <w:autoSpaceDE w:val="0"/>
        <w:autoSpaceDN w:val="0"/>
        <w:adjustRightInd w:val="0"/>
        <w:spacing w:line="240" w:lineRule="auto"/>
        <w:rPr>
          <w:rFonts w:ascii="SFBX1440" w:hAnsi="SFBX1440" w:cs="SFBX1440"/>
          <w:b/>
          <w:color w:val="943634" w:themeColor="accent2" w:themeShade="BF"/>
          <w:sz w:val="29"/>
          <w:szCs w:val="29"/>
        </w:rPr>
      </w:pPr>
      <w:r w:rsidRPr="008320EF">
        <w:rPr>
          <w:rFonts w:ascii="SFBX1440" w:hAnsi="SFBX1440" w:cs="SFBX1440"/>
          <w:b/>
          <w:color w:val="943634" w:themeColor="accent2" w:themeShade="BF"/>
          <w:sz w:val="29"/>
          <w:szCs w:val="29"/>
        </w:rPr>
        <w:t>SY09 Printemps 2010 - TP 4</w:t>
      </w:r>
    </w:p>
    <w:p w:rsidR="008320EF" w:rsidRPr="008320EF" w:rsidRDefault="008320EF" w:rsidP="008320EF">
      <w:pPr>
        <w:autoSpaceDE w:val="0"/>
        <w:autoSpaceDN w:val="0"/>
        <w:adjustRightInd w:val="0"/>
        <w:spacing w:line="240" w:lineRule="auto"/>
        <w:rPr>
          <w:rFonts w:ascii="SFBX1440" w:hAnsi="SFBX1440" w:cs="SFBX1440"/>
          <w:b/>
          <w:color w:val="943634" w:themeColor="accent2" w:themeShade="BF"/>
          <w:sz w:val="29"/>
          <w:szCs w:val="29"/>
        </w:rPr>
      </w:pPr>
      <w:r w:rsidRPr="008320EF">
        <w:rPr>
          <w:rFonts w:ascii="SFBX1440" w:hAnsi="SFBX1440" w:cs="SFBX1440"/>
          <w:b/>
          <w:color w:val="943634" w:themeColor="accent2" w:themeShade="BF"/>
          <w:sz w:val="29"/>
          <w:szCs w:val="29"/>
        </w:rPr>
        <w:t>Analyses discriminantes quadratique et linéaire</w:t>
      </w:r>
    </w:p>
    <w:p w:rsidR="007E0A39" w:rsidRPr="007E0A39" w:rsidRDefault="007E0A39" w:rsidP="007E0A39">
      <w:pPr>
        <w:pStyle w:val="Default"/>
        <w:rPr>
          <w:rFonts w:asciiTheme="minorHAnsi" w:hAnsiTheme="minorHAnsi" w:cstheme="minorBidi"/>
          <w:color w:val="auto"/>
          <w:szCs w:val="22"/>
        </w:rPr>
      </w:pPr>
    </w:p>
    <w:p w:rsidR="008320EF" w:rsidRPr="00D355A5" w:rsidRDefault="008320EF" w:rsidP="003E3DE2">
      <w:r w:rsidRPr="00D355A5">
        <w:t xml:space="preserve">L'analyse discriminante étudie des données provenant de </w:t>
      </w:r>
      <w:r w:rsidRPr="003E3DE2">
        <w:rPr>
          <w:rFonts w:ascii="LNIKDJ+TimesNewRoman,Bold" w:hAnsi="LNIKDJ+TimesNewRoman,Bold" w:cs="LNIKDJ+TimesNewRoman,Bold"/>
          <w:b/>
          <w:bCs/>
        </w:rPr>
        <w:t>groupes connus à priori</w:t>
      </w:r>
      <w:r w:rsidRPr="00D355A5">
        <w:t xml:space="preserve">. Elle vise deux buts principaux: </w:t>
      </w:r>
    </w:p>
    <w:p w:rsidR="008320EF" w:rsidRPr="00D355A5" w:rsidRDefault="008320EF" w:rsidP="003E3DE2">
      <w:pPr>
        <w:pStyle w:val="Paragraphedeliste"/>
        <w:numPr>
          <w:ilvl w:val="0"/>
          <w:numId w:val="34"/>
        </w:numPr>
      </w:pPr>
      <w:r w:rsidRPr="003E3DE2">
        <w:rPr>
          <w:rFonts w:ascii="LNIKDJ+TimesNewRoman,Bold" w:hAnsi="LNIKDJ+TimesNewRoman,Bold" w:cs="LNIKDJ+TimesNewRoman,Bold"/>
          <w:b/>
          <w:bCs/>
        </w:rPr>
        <w:t xml:space="preserve">Description: </w:t>
      </w:r>
      <w:r w:rsidRPr="00D355A5">
        <w:t>Parmi les groupes connus, quelles sont les princi</w:t>
      </w:r>
      <w:r>
        <w:t xml:space="preserve">pales différences que l'on peut </w:t>
      </w:r>
      <w:r w:rsidR="003E3DE2">
        <w:t xml:space="preserve"> </w:t>
      </w:r>
      <w:r w:rsidRPr="00D355A5">
        <w:t>déterminer à l'aide des variables mesurées?</w:t>
      </w:r>
    </w:p>
    <w:p w:rsidR="008320EF" w:rsidRDefault="008320EF" w:rsidP="003E3DE2">
      <w:pPr>
        <w:pStyle w:val="Paragraphedeliste"/>
        <w:numPr>
          <w:ilvl w:val="0"/>
          <w:numId w:val="33"/>
        </w:numPr>
      </w:pPr>
      <w:r w:rsidRPr="003E3DE2">
        <w:rPr>
          <w:rFonts w:ascii="LNIKDJ+TimesNewRoman,Bold" w:hAnsi="LNIKDJ+TimesNewRoman,Bold" w:cs="LNIKDJ+TimesNewRoman,Bold"/>
          <w:b/>
          <w:bCs/>
        </w:rPr>
        <w:t xml:space="preserve">Classement: </w:t>
      </w:r>
      <w:r w:rsidRPr="00D355A5">
        <w:t>Peut- on déterminer le groupe d'appartenance d'une nouvelle observation uniquement à partir des variables mesurées?</w:t>
      </w:r>
    </w:p>
    <w:p w:rsidR="008320EF" w:rsidRDefault="008320EF" w:rsidP="003E3DE2">
      <w:r>
        <w:t xml:space="preserve">Dans ce TP nous allons utiliser L’analyses discriminantes pour </w:t>
      </w:r>
    </w:p>
    <w:p w:rsidR="003E3DE2" w:rsidRDefault="003E3DE2" w:rsidP="00444E16"/>
    <w:p w:rsidR="003E3DE2" w:rsidRPr="00E16AC2" w:rsidRDefault="003E3DE2" w:rsidP="006D4BBF">
      <w:pPr>
        <w:pStyle w:val="Titre1"/>
        <w:numPr>
          <w:ilvl w:val="0"/>
          <w:numId w:val="40"/>
        </w:numPr>
        <w:rPr>
          <w:szCs w:val="20"/>
        </w:rPr>
      </w:pPr>
      <w:r w:rsidRPr="00D02086">
        <w:rPr>
          <w:rStyle w:val="Rfrenceintense"/>
          <w:b/>
          <w:bCs/>
          <w:smallCaps w:val="0"/>
          <w:color w:val="365F91" w:themeColor="accent1" w:themeShade="BF"/>
          <w:spacing w:val="0"/>
        </w:rPr>
        <w:t>Règle de Bayes</w:t>
      </w:r>
    </w:p>
    <w:p w:rsidR="003E3DE2" w:rsidRPr="00F85CA9" w:rsidRDefault="003E3DE2" w:rsidP="00F85CA9">
      <w:pPr>
        <w:jc w:val="both"/>
        <w:rPr>
          <w:sz w:val="22"/>
        </w:rPr>
      </w:pPr>
      <w:r>
        <w:t xml:space="preserve">Dans cette premier exercice nous allons </w:t>
      </w:r>
      <w:r w:rsidRPr="00033A36">
        <w:t>s’intéresser à la frontière de décision de la règle de Bayes</w:t>
      </w:r>
      <w:r>
        <w:t xml:space="preserve"> avec deux classes gaussiennes de dimension 2. Les calcules vont se faire sur des paramètres différent. En effet nous allons vari</w:t>
      </w:r>
      <w:r>
        <w:rPr>
          <w:sz w:val="22"/>
        </w:rPr>
        <w:t>é</w:t>
      </w:r>
      <w:r w:rsidR="00F85CA9">
        <w:rPr>
          <w:sz w:val="22"/>
        </w:rPr>
        <w:t xml:space="preserve"> </w:t>
      </w:r>
      <w:r w:rsidRPr="00033A36">
        <w:t xml:space="preserve">les matrices de variance-covariance, les probabilités à priori et les centres de gravité des nuages de points. </w:t>
      </w:r>
    </w:p>
    <w:p w:rsidR="003E3DE2" w:rsidRPr="00033A36" w:rsidRDefault="003E3DE2" w:rsidP="003E3DE2"/>
    <w:p w:rsidR="00F85CA9" w:rsidRDefault="00F85CA9" w:rsidP="00F85CA9">
      <w:pPr>
        <w:pStyle w:val="Titre2"/>
        <w:numPr>
          <w:ilvl w:val="0"/>
          <w:numId w:val="35"/>
        </w:numPr>
      </w:pPr>
      <w:r>
        <w:t>Calcule de la frontière avec la règle de Bayes</w:t>
      </w:r>
    </w:p>
    <w:p w:rsidR="003E3DE2" w:rsidRPr="00F85CA9" w:rsidRDefault="003E3DE2" w:rsidP="00F85CA9">
      <w:pPr>
        <w:pStyle w:val="Titre2"/>
        <w:rPr>
          <w:rFonts w:ascii="Times New Roman" w:eastAsiaTheme="minorHAnsi" w:hAnsi="Times New Roman" w:cstheme="minorBidi"/>
          <w:b w:val="0"/>
          <w:bCs w:val="0"/>
          <w:color w:val="auto"/>
          <w:sz w:val="20"/>
          <w:szCs w:val="22"/>
        </w:rPr>
      </w:pPr>
      <w:r w:rsidRPr="00F85CA9">
        <w:rPr>
          <w:rFonts w:ascii="Times New Roman" w:eastAsiaTheme="minorHAnsi" w:hAnsi="Times New Roman" w:cstheme="minorBidi"/>
          <w:b w:val="0"/>
          <w:bCs w:val="0"/>
          <w:color w:val="auto"/>
          <w:sz w:val="20"/>
          <w:szCs w:val="22"/>
        </w:rPr>
        <w:t xml:space="preserve">On suppose que la population est répartie en deux classes, en proportions π1 et π2 = 1 </w:t>
      </w:r>
      <w:r w:rsidRPr="00F85CA9">
        <w:rPr>
          <w:rFonts w:ascii="Times New Roman" w:eastAsiaTheme="minorHAnsi" w:hAnsi="Times New Roman" w:cstheme="minorBidi" w:hint="eastAsia"/>
          <w:b w:val="0"/>
          <w:bCs w:val="0"/>
          <w:color w:val="auto"/>
          <w:sz w:val="20"/>
          <w:szCs w:val="22"/>
        </w:rPr>
        <w:t>−</w:t>
      </w:r>
      <w:r w:rsidRPr="00F85CA9">
        <w:rPr>
          <w:rFonts w:ascii="Times New Roman" w:eastAsiaTheme="minorHAnsi" w:hAnsi="Times New Roman" w:cstheme="minorBidi"/>
          <w:b w:val="0"/>
          <w:bCs w:val="0"/>
          <w:color w:val="auto"/>
          <w:sz w:val="20"/>
          <w:szCs w:val="22"/>
        </w:rPr>
        <w:t xml:space="preserve"> π1, issues des distributions gaussiennes </w:t>
      </w:r>
      <w:r w:rsidR="00F85CA9" w:rsidRPr="00F85CA9">
        <w:rPr>
          <w:rFonts w:ascii="Times New Roman" w:eastAsiaTheme="minorHAnsi" w:hAnsi="Times New Roman" w:cstheme="minorBidi"/>
          <w:b w:val="0"/>
          <w:bCs w:val="0"/>
          <w:color w:val="auto"/>
          <w:sz w:val="20"/>
          <w:szCs w:val="22"/>
        </w:rPr>
        <w:t>bi variées</w:t>
      </w:r>
      <w:r w:rsidRPr="00F85CA9">
        <w:rPr>
          <w:rFonts w:ascii="Times New Roman" w:eastAsiaTheme="minorHAnsi" w:hAnsi="Times New Roman" w:cstheme="minorBidi"/>
          <w:b w:val="0"/>
          <w:bCs w:val="0"/>
          <w:color w:val="auto"/>
          <w:sz w:val="20"/>
          <w:szCs w:val="22"/>
        </w:rPr>
        <w:t xml:space="preserve"> N(μ1,Σ1) et N(μ2,Σ2).</w:t>
      </w:r>
    </w:p>
    <w:p w:rsidR="003E3DE2" w:rsidRPr="00033A36" w:rsidRDefault="003E3DE2" w:rsidP="003E3DE2"/>
    <w:p w:rsidR="003E3DE2" w:rsidRDefault="003E3DE2" w:rsidP="003E3DE2">
      <w:pPr>
        <w:jc w:val="both"/>
      </w:pPr>
      <w:r w:rsidRPr="00155ACE">
        <w:t xml:space="preserve">Pour calculer les frontières de décisions, nous </w:t>
      </w:r>
      <w:r>
        <w:t>avons utilisé</w:t>
      </w:r>
      <w:r w:rsidRPr="00155ACE">
        <w:t xml:space="preserve"> des fonctions </w:t>
      </w:r>
      <w:r>
        <w:t>d</w:t>
      </w:r>
      <w:r w:rsidRPr="00155ACE">
        <w:t>iscriminantes.</w:t>
      </w:r>
      <w:r>
        <w:t xml:space="preserve"> La règle de Bayes s’écrit alors </w:t>
      </w:r>
      <w:r w:rsidRPr="00155ACE">
        <w:rPr>
          <w:position w:val="-14"/>
        </w:rPr>
        <w:object w:dxaOrig="11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pt;height:20.2pt" o:ole="">
            <v:imagedata r:id="rId8" o:title=""/>
          </v:shape>
          <o:OLEObject Type="Embed" ProgID="Equation.3" ShapeID="_x0000_i1025" DrawAspect="Content" ObjectID="_1337545123" r:id="rId9"/>
        </w:object>
      </w:r>
      <w:r>
        <w:t xml:space="preserve">avec </w:t>
      </w:r>
      <w:r w:rsidRPr="00155ACE">
        <w:rPr>
          <w:position w:val="-24"/>
        </w:rPr>
        <w:object w:dxaOrig="1920" w:dyaOrig="480">
          <v:shape id="_x0000_i1026" type="#_x0000_t75" style="width:96.2pt;height:24.2pt" o:ole="">
            <v:imagedata r:id="rId10" o:title=""/>
          </v:shape>
          <o:OLEObject Type="Embed" ProgID="Equation.3" ShapeID="_x0000_i1026" DrawAspect="Content" ObjectID="_1337545124" r:id="rId11"/>
        </w:object>
      </w:r>
    </w:p>
    <w:p w:rsidR="003E3DE2" w:rsidRDefault="003E3DE2" w:rsidP="003E3DE2">
      <w:pPr>
        <w:ind w:firstLine="708"/>
        <w:jc w:val="both"/>
      </w:pPr>
      <w:r w:rsidRPr="00155ACE">
        <w:rPr>
          <w:position w:val="-24"/>
        </w:rPr>
        <w:object w:dxaOrig="6160" w:dyaOrig="620">
          <v:shape id="_x0000_i1027" type="#_x0000_t75" style="width:308.2pt;height:30.95pt" o:ole="">
            <v:imagedata r:id="rId12" o:title=""/>
          </v:shape>
          <o:OLEObject Type="Embed" ProgID="Equation.3" ShapeID="_x0000_i1027" DrawAspect="Content" ObjectID="_1337545125" r:id="rId13"/>
        </w:object>
      </w:r>
    </w:p>
    <w:p w:rsidR="003E3DE2" w:rsidRDefault="003E3DE2" w:rsidP="003E3DE2">
      <w:pPr>
        <w:jc w:val="both"/>
      </w:pPr>
      <w:r>
        <w:t xml:space="preserve">Les régions de décision sont séparées par des frontières d’équations  </w:t>
      </w:r>
      <w:r w:rsidRPr="00155ACE">
        <w:rPr>
          <w:position w:val="-10"/>
        </w:rPr>
        <w:object w:dxaOrig="1359" w:dyaOrig="340">
          <v:shape id="_x0000_i1028" type="#_x0000_t75" style="width:67.95pt;height:16.8pt" o:ole="">
            <v:imagedata r:id="rId14" o:title=""/>
          </v:shape>
          <o:OLEObject Type="Embed" ProgID="Equation.3" ShapeID="_x0000_i1028" DrawAspect="Content" ObjectID="_1337545126" r:id="rId15"/>
        </w:object>
      </w:r>
    </w:p>
    <w:p w:rsidR="003E3DE2" w:rsidRDefault="003E3DE2" w:rsidP="00444E16"/>
    <w:p w:rsidR="003E3DE2" w:rsidRDefault="003E3DE2" w:rsidP="000063F6">
      <w:pPr>
        <w:pStyle w:val="Paragraphedeliste"/>
        <w:numPr>
          <w:ilvl w:val="0"/>
          <w:numId w:val="37"/>
        </w:numPr>
        <w:spacing w:after="200"/>
      </w:pPr>
      <w:r w:rsidRPr="00646FDC">
        <w:rPr>
          <w:position w:val="-10"/>
        </w:rPr>
        <w:object w:dxaOrig="820" w:dyaOrig="340">
          <v:shape id="_x0000_i1029" type="#_x0000_t75" style="width:41.05pt;height:16.8pt" o:ole="">
            <v:imagedata r:id="rId16" o:title=""/>
          </v:shape>
          <o:OLEObject Type="Embed" ProgID="Equation.3" ShapeID="_x0000_i1029" DrawAspect="Content" ObjectID="_1337545127" r:id="rId17"/>
        </w:object>
      </w:r>
      <w:r w:rsidRPr="00646FDC">
        <w:t xml:space="preserve">, </w:t>
      </w:r>
      <w:r w:rsidRPr="00646FDC">
        <w:rPr>
          <w:position w:val="-10"/>
        </w:rPr>
        <w:object w:dxaOrig="1160" w:dyaOrig="380">
          <v:shape id="_x0000_i1030" type="#_x0000_t75" style="width:57.85pt;height:18.85pt" o:ole="">
            <v:imagedata r:id="rId18" o:title=""/>
          </v:shape>
          <o:OLEObject Type="Embed" ProgID="Equation.3" ShapeID="_x0000_i1030" DrawAspect="Content" ObjectID="_1337545128" r:id="rId19"/>
        </w:object>
      </w:r>
      <w:r w:rsidRPr="00646FDC">
        <w:t>,</w:t>
      </w:r>
      <w:r w:rsidRPr="00646FDC">
        <w:rPr>
          <w:position w:val="-10"/>
        </w:rPr>
        <w:object w:dxaOrig="1120" w:dyaOrig="380">
          <v:shape id="_x0000_i1031" type="#_x0000_t75" style="width:55.85pt;height:18.85pt" o:ole="">
            <v:imagedata r:id="rId20" o:title=""/>
          </v:shape>
          <o:OLEObject Type="Embed" ProgID="Equation.3" ShapeID="_x0000_i1031" DrawAspect="Content" ObjectID="_1337545129" r:id="rId21"/>
        </w:object>
      </w:r>
      <w:r w:rsidRPr="00646FDC">
        <w:t xml:space="preserve">, </w:t>
      </w:r>
      <w:r w:rsidRPr="00646FDC">
        <w:rPr>
          <w:position w:val="-30"/>
        </w:rPr>
        <w:object w:dxaOrig="1700" w:dyaOrig="720">
          <v:shape id="_x0000_i1032" type="#_x0000_t75" style="width:84.8pt;height:36.35pt" o:ole="">
            <v:imagedata r:id="rId22" o:title=""/>
          </v:shape>
          <o:OLEObject Type="Embed" ProgID="Equation.3" ShapeID="_x0000_i1032" DrawAspect="Content" ObjectID="_1337545130" r:id="rId23"/>
        </w:object>
      </w:r>
    </w:p>
    <w:p w:rsidR="003E3DE2" w:rsidRDefault="003E3DE2" w:rsidP="003E3DE2">
      <w:pPr>
        <w:pStyle w:val="Paragraphedeliste"/>
      </w:pPr>
    </w:p>
    <w:p w:rsidR="003E3DE2" w:rsidRDefault="003E3DE2" w:rsidP="003E3DE2">
      <w:pPr>
        <w:pStyle w:val="Paragraphedeliste"/>
      </w:pPr>
      <w:r w:rsidRPr="009172A4">
        <w:rPr>
          <w:position w:val="-64"/>
        </w:rPr>
        <w:object w:dxaOrig="5820" w:dyaOrig="1400">
          <v:shape id="_x0000_i1033" type="#_x0000_t75" style="width:290.7pt;height:70pt" o:ole="">
            <v:imagedata r:id="rId24" o:title=""/>
          </v:shape>
          <o:OLEObject Type="Embed" ProgID="Equation.3" ShapeID="_x0000_i1033" DrawAspect="Content" ObjectID="_1337545131" r:id="rId25"/>
        </w:object>
      </w:r>
    </w:p>
    <w:p w:rsidR="003E3DE2" w:rsidRDefault="003E3DE2" w:rsidP="003E3DE2">
      <w:pPr>
        <w:pStyle w:val="Paragraphedeliste"/>
      </w:pPr>
    </w:p>
    <w:p w:rsidR="003E3DE2" w:rsidRDefault="003E3DE2" w:rsidP="003E3DE2">
      <w:pPr>
        <w:pStyle w:val="Paragraphedeliste"/>
      </w:pPr>
      <w:r w:rsidRPr="009172A4">
        <w:rPr>
          <w:position w:val="-64"/>
        </w:rPr>
        <w:object w:dxaOrig="6720" w:dyaOrig="1400">
          <v:shape id="_x0000_i1034" type="#_x0000_t75" style="width:335.8pt;height:70pt" o:ole="">
            <v:imagedata r:id="rId26" o:title=""/>
          </v:shape>
          <o:OLEObject Type="Embed" ProgID="Equation.3" ShapeID="_x0000_i1034" DrawAspect="Content" ObjectID="_1337545132" r:id="rId27"/>
        </w:object>
      </w:r>
    </w:p>
    <w:p w:rsidR="003E3DE2" w:rsidRDefault="003E3DE2" w:rsidP="003E3DE2">
      <w:pPr>
        <w:pStyle w:val="Paragraphedeliste"/>
      </w:pPr>
    </w:p>
    <w:p w:rsidR="003E3DE2" w:rsidRDefault="003E3DE2" w:rsidP="003E3DE2">
      <w:pPr>
        <w:pStyle w:val="Paragraphedeliste"/>
      </w:pPr>
      <w:r w:rsidRPr="00265E0A">
        <w:rPr>
          <w:position w:val="-32"/>
        </w:rPr>
        <w:object w:dxaOrig="4860" w:dyaOrig="760">
          <v:shape id="_x0000_i1035" type="#_x0000_t75" style="width:242.9pt;height:37.7pt" o:ole="">
            <v:imagedata r:id="rId28" o:title=""/>
          </v:shape>
          <o:OLEObject Type="Embed" ProgID="Equation.3" ShapeID="_x0000_i1035" DrawAspect="Content" ObjectID="_1337545133" r:id="rId29"/>
        </w:object>
      </w:r>
    </w:p>
    <w:p w:rsidR="000063F6" w:rsidRDefault="000063F6" w:rsidP="00444E16"/>
    <w:p w:rsidR="000063F6" w:rsidRDefault="000063F6" w:rsidP="00444E16">
      <w:r>
        <w:lastRenderedPageBreak/>
        <w:t>La frontière est quadratique.</w:t>
      </w:r>
    </w:p>
    <w:p w:rsidR="000063F6" w:rsidRDefault="000063F6" w:rsidP="000063F6">
      <w:pPr>
        <w:pStyle w:val="Paragraphedeliste"/>
        <w:numPr>
          <w:ilvl w:val="0"/>
          <w:numId w:val="37"/>
        </w:numPr>
      </w:pPr>
      <w:r w:rsidRPr="00265E0A">
        <w:rPr>
          <w:position w:val="-10"/>
        </w:rPr>
        <w:object w:dxaOrig="3320" w:dyaOrig="340">
          <v:shape id="_x0000_i1036" type="#_x0000_t75" style="width:166.2pt;height:16.8pt" o:ole="">
            <v:imagedata r:id="rId30" o:title=""/>
          </v:shape>
          <o:OLEObject Type="Embed" ProgID="Equation.3" ShapeID="_x0000_i1036" DrawAspect="Content" ObjectID="_1337545134" r:id="rId31"/>
        </w:object>
      </w:r>
    </w:p>
    <w:p w:rsidR="000063F6" w:rsidRDefault="000063F6" w:rsidP="000063F6">
      <w:r>
        <w:t>La frontière est quadratique.</w:t>
      </w:r>
    </w:p>
    <w:p w:rsidR="000063F6" w:rsidRDefault="000063F6" w:rsidP="000063F6">
      <w:pPr>
        <w:pStyle w:val="Paragraphedeliste"/>
        <w:numPr>
          <w:ilvl w:val="0"/>
          <w:numId w:val="37"/>
        </w:numPr>
      </w:pPr>
      <w:r w:rsidRPr="00265E0A">
        <w:rPr>
          <w:position w:val="-10"/>
        </w:rPr>
        <w:object w:dxaOrig="2640" w:dyaOrig="340">
          <v:shape id="_x0000_i1037" type="#_x0000_t75" style="width:131.9pt;height:16.8pt" o:ole="">
            <v:imagedata r:id="rId32" o:title=""/>
          </v:shape>
          <o:OLEObject Type="Embed" ProgID="Equation.3" ShapeID="_x0000_i1037" DrawAspect="Content" ObjectID="_1337545135" r:id="rId33"/>
        </w:object>
      </w:r>
    </w:p>
    <w:p w:rsidR="000063F6" w:rsidRDefault="000063F6" w:rsidP="000063F6">
      <w:r>
        <w:t>La frontière est quadratique.</w:t>
      </w:r>
    </w:p>
    <w:p w:rsidR="000063F6" w:rsidRDefault="000063F6" w:rsidP="000063F6">
      <w:pPr>
        <w:pStyle w:val="Paragraphedeliste"/>
        <w:numPr>
          <w:ilvl w:val="0"/>
          <w:numId w:val="37"/>
        </w:numPr>
      </w:pPr>
      <w:r w:rsidRPr="00847EC1">
        <w:rPr>
          <w:position w:val="-28"/>
        </w:rPr>
        <w:object w:dxaOrig="4440" w:dyaOrig="680">
          <v:shape id="_x0000_i1038" type="#_x0000_t75" style="width:222.05pt;height:34.3pt" o:ole="">
            <v:imagedata r:id="rId34" o:title=""/>
          </v:shape>
          <o:OLEObject Type="Embed" ProgID="Equation.3" ShapeID="_x0000_i1038" DrawAspect="Content" ObjectID="_1337545136" r:id="rId35"/>
        </w:object>
      </w:r>
    </w:p>
    <w:p w:rsidR="000063F6" w:rsidRDefault="000063F6" w:rsidP="000063F6">
      <w:r>
        <w:t>La frontière est un cercle.</w:t>
      </w:r>
    </w:p>
    <w:p w:rsidR="000063F6" w:rsidRDefault="000063F6" w:rsidP="000063F6">
      <w:pPr>
        <w:pStyle w:val="Paragraphedeliste"/>
        <w:numPr>
          <w:ilvl w:val="0"/>
          <w:numId w:val="37"/>
        </w:numPr>
      </w:pPr>
    </w:p>
    <w:p w:rsidR="000063F6" w:rsidRDefault="000063F6" w:rsidP="000063F6">
      <w:pPr>
        <w:pStyle w:val="Paragraphedeliste"/>
        <w:ind w:left="1068"/>
      </w:pPr>
      <w:r w:rsidRPr="00517D54">
        <w:rPr>
          <w:position w:val="-52"/>
        </w:rPr>
        <w:object w:dxaOrig="7740" w:dyaOrig="1160">
          <v:shape id="_x0000_i1039" type="#_x0000_t75" style="width:386.9pt;height:57.85pt" o:ole="">
            <v:imagedata r:id="rId36" o:title=""/>
          </v:shape>
          <o:OLEObject Type="Embed" ProgID="Equation.3" ShapeID="_x0000_i1039" DrawAspect="Content" ObjectID="_1337545137" r:id="rId37"/>
        </w:object>
      </w:r>
    </w:p>
    <w:p w:rsidR="000063F6" w:rsidRDefault="000063F6" w:rsidP="000063F6">
      <w:r>
        <w:t>La frontière est une ellipse.</w:t>
      </w:r>
    </w:p>
    <w:p w:rsidR="00977B01" w:rsidRDefault="00977B01" w:rsidP="000063F6"/>
    <w:p w:rsidR="00977B01" w:rsidRDefault="00977B01" w:rsidP="00A255FD">
      <w:r w:rsidRPr="00977B01">
        <w:rPr>
          <w:b/>
        </w:rPr>
        <w:t>Remarque</w:t>
      </w:r>
      <w:r>
        <w:t xml:space="preserve"> : Les frontières </w:t>
      </w:r>
      <w:r w:rsidR="00A255FD">
        <w:t>précédemment</w:t>
      </w:r>
      <w:r>
        <w:t xml:space="preserve"> calculées respect </w:t>
      </w:r>
      <w:r w:rsidR="00A255FD">
        <w:t>les hypothèses</w:t>
      </w:r>
      <w:r>
        <w:t xml:space="preserve"> selon lesquelles les frontières sont quadratiques, et plus particulièrement des coniques en dimension 2.</w:t>
      </w:r>
    </w:p>
    <w:p w:rsidR="00F85CA9" w:rsidRDefault="006D4BBF" w:rsidP="00F85CA9">
      <w:pPr>
        <w:pStyle w:val="Titre2"/>
        <w:numPr>
          <w:ilvl w:val="0"/>
          <w:numId w:val="35"/>
        </w:numPr>
      </w:pPr>
      <w:r>
        <w:rPr>
          <w:noProof/>
          <w:lang w:eastAsia="fr-FR"/>
        </w:rPr>
        <w:drawing>
          <wp:anchor distT="0" distB="0" distL="114300" distR="114300" simplePos="0" relativeHeight="251680768" behindDoc="1" locked="0" layoutInCell="1" allowOverlap="1">
            <wp:simplePos x="0" y="0"/>
            <wp:positionH relativeFrom="column">
              <wp:posOffset>178435</wp:posOffset>
            </wp:positionH>
            <wp:positionV relativeFrom="paragraph">
              <wp:posOffset>520700</wp:posOffset>
            </wp:positionV>
            <wp:extent cx="2620645" cy="2623185"/>
            <wp:effectExtent l="19050" t="0" r="8255" b="0"/>
            <wp:wrapNone/>
            <wp:docPr id="129"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38" cstate="print"/>
                    <a:srcRect/>
                    <a:stretch>
                      <a:fillRect/>
                    </a:stretch>
                  </pic:blipFill>
                  <pic:spPr bwMode="auto">
                    <a:xfrm>
                      <a:off x="0" y="0"/>
                      <a:ext cx="2620645" cy="262318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79744" behindDoc="1" locked="0" layoutInCell="1" allowOverlap="1">
            <wp:simplePos x="0" y="0"/>
            <wp:positionH relativeFrom="column">
              <wp:posOffset>2904490</wp:posOffset>
            </wp:positionH>
            <wp:positionV relativeFrom="paragraph">
              <wp:posOffset>452120</wp:posOffset>
            </wp:positionV>
            <wp:extent cx="2707005" cy="2691765"/>
            <wp:effectExtent l="19050" t="0" r="0" b="0"/>
            <wp:wrapNone/>
            <wp:docPr id="1"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pic:cNvPicPr>
                      <a:picLocks noChangeAspect="1" noChangeArrowheads="1"/>
                    </pic:cNvPicPr>
                  </pic:nvPicPr>
                  <pic:blipFill>
                    <a:blip r:embed="rId39" cstate="print"/>
                    <a:srcRect/>
                    <a:stretch>
                      <a:fillRect/>
                    </a:stretch>
                  </pic:blipFill>
                  <pic:spPr bwMode="auto">
                    <a:xfrm>
                      <a:off x="0" y="0"/>
                      <a:ext cx="2707005" cy="2691765"/>
                    </a:xfrm>
                    <a:prstGeom prst="rect">
                      <a:avLst/>
                    </a:prstGeom>
                    <a:noFill/>
                    <a:ln w="9525">
                      <a:noFill/>
                      <a:miter lim="800000"/>
                      <a:headEnd/>
                      <a:tailEnd/>
                    </a:ln>
                  </pic:spPr>
                </pic:pic>
              </a:graphicData>
            </a:graphic>
          </wp:anchor>
        </w:drawing>
      </w:r>
      <w:r w:rsidR="00F85CA9" w:rsidRPr="00F85CA9">
        <w:t>Voici la représentation de Vect1X1 en fonction de Vect1X2, Vect2X1 en fonction de Vect2X2 ainsi que la frontière de décision calculée pour les trois premiers cas</w:t>
      </w:r>
    </w:p>
    <w:p w:rsidR="00F85CA9" w:rsidRDefault="00F85CA9" w:rsidP="00F85CA9"/>
    <w:p w:rsidR="00F85CA9" w:rsidRDefault="00F85CA9" w:rsidP="00F85CA9"/>
    <w:p w:rsidR="00F85CA9" w:rsidRPr="00F85CA9" w:rsidRDefault="00F85CA9" w:rsidP="00F85CA9"/>
    <w:p w:rsidR="00F85CA9" w:rsidRDefault="00F85CA9" w:rsidP="00F85CA9">
      <w:pPr>
        <w:pStyle w:val="Paragraphedeliste"/>
        <w:ind w:left="360"/>
        <w:rPr>
          <w:i/>
        </w:rPr>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r>
        <w:rPr>
          <w:noProof/>
          <w:lang w:eastAsia="fr-FR"/>
        </w:rPr>
        <w:drawing>
          <wp:anchor distT="0" distB="0" distL="114300" distR="114300" simplePos="0" relativeHeight="251678720" behindDoc="0" locked="0" layoutInCell="1" allowOverlap="1">
            <wp:simplePos x="0" y="0"/>
            <wp:positionH relativeFrom="column">
              <wp:posOffset>3093049</wp:posOffset>
            </wp:positionH>
            <wp:positionV relativeFrom="paragraph">
              <wp:posOffset>40029</wp:posOffset>
            </wp:positionV>
            <wp:extent cx="2476906" cy="2461189"/>
            <wp:effectExtent l="19050" t="0" r="0" b="0"/>
            <wp:wrapNone/>
            <wp:docPr id="22"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3"/>
                    <pic:cNvPicPr>
                      <a:picLocks noChangeAspect="1" noChangeArrowheads="1"/>
                    </pic:cNvPicPr>
                  </pic:nvPicPr>
                  <pic:blipFill>
                    <a:blip r:embed="rId40" cstate="print"/>
                    <a:srcRect/>
                    <a:stretch>
                      <a:fillRect/>
                    </a:stretch>
                  </pic:blipFill>
                  <pic:spPr bwMode="auto">
                    <a:xfrm>
                      <a:off x="0" y="0"/>
                      <a:ext cx="2477262" cy="2461543"/>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81792" behindDoc="1" locked="0" layoutInCell="1" allowOverlap="1">
            <wp:simplePos x="0" y="0"/>
            <wp:positionH relativeFrom="column">
              <wp:posOffset>178435</wp:posOffset>
            </wp:positionH>
            <wp:positionV relativeFrom="paragraph">
              <wp:posOffset>38735</wp:posOffset>
            </wp:positionV>
            <wp:extent cx="2527300" cy="2513330"/>
            <wp:effectExtent l="19050" t="0" r="6350" b="0"/>
            <wp:wrapNone/>
            <wp:docPr id="3"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2"/>
                    <pic:cNvPicPr>
                      <a:picLocks noChangeAspect="1" noChangeArrowheads="1"/>
                    </pic:cNvPicPr>
                  </pic:nvPicPr>
                  <pic:blipFill>
                    <a:blip r:embed="rId41" cstate="print"/>
                    <a:srcRect/>
                    <a:stretch>
                      <a:fillRect/>
                    </a:stretch>
                  </pic:blipFill>
                  <pic:spPr bwMode="auto">
                    <a:xfrm>
                      <a:off x="0" y="0"/>
                      <a:ext cx="2527300" cy="2513330"/>
                    </a:xfrm>
                    <a:prstGeom prst="rect">
                      <a:avLst/>
                    </a:prstGeom>
                    <a:noFill/>
                    <a:ln w="9525">
                      <a:noFill/>
                      <a:miter lim="800000"/>
                      <a:headEnd/>
                      <a:tailEnd/>
                    </a:ln>
                  </pic:spPr>
                </pic:pic>
              </a:graphicData>
            </a:graphic>
          </wp:anchor>
        </w:drawing>
      </w: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r>
        <w:rPr>
          <w:noProof/>
          <w:lang w:eastAsia="fr-FR"/>
        </w:rPr>
        <w:lastRenderedPageBreak/>
        <w:drawing>
          <wp:anchor distT="0" distB="0" distL="114300" distR="114300" simplePos="0" relativeHeight="251682816" behindDoc="1" locked="0" layoutInCell="1" allowOverlap="1">
            <wp:simplePos x="0" y="0"/>
            <wp:positionH relativeFrom="column">
              <wp:posOffset>1255395</wp:posOffset>
            </wp:positionH>
            <wp:positionV relativeFrom="paragraph">
              <wp:posOffset>-262890</wp:posOffset>
            </wp:positionV>
            <wp:extent cx="2707005" cy="2691765"/>
            <wp:effectExtent l="19050" t="0" r="0" b="0"/>
            <wp:wrapNone/>
            <wp:docPr id="131" name="Imag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6"/>
                    <pic:cNvPicPr>
                      <a:picLocks noChangeAspect="1" noChangeArrowheads="1"/>
                    </pic:cNvPicPr>
                  </pic:nvPicPr>
                  <pic:blipFill>
                    <a:blip r:embed="rId42" cstate="print"/>
                    <a:srcRect/>
                    <a:stretch>
                      <a:fillRect/>
                    </a:stretch>
                  </pic:blipFill>
                  <pic:spPr bwMode="auto">
                    <a:xfrm>
                      <a:off x="0" y="0"/>
                      <a:ext cx="2707005" cy="2691765"/>
                    </a:xfrm>
                    <a:prstGeom prst="rect">
                      <a:avLst/>
                    </a:prstGeom>
                    <a:noFill/>
                    <a:ln w="9525">
                      <a:noFill/>
                      <a:miter lim="800000"/>
                      <a:headEnd/>
                      <a:tailEnd/>
                    </a:ln>
                  </pic:spPr>
                </pic:pic>
              </a:graphicData>
            </a:graphic>
          </wp:anchor>
        </w:drawing>
      </w:r>
    </w:p>
    <w:p w:rsidR="006D4BBF" w:rsidRDefault="006D4BBF" w:rsidP="00F85CA9">
      <w:pPr>
        <w:pStyle w:val="Paragraphedeliste"/>
        <w:ind w:left="426"/>
      </w:pPr>
    </w:p>
    <w:p w:rsidR="00F85CA9" w:rsidRDefault="00F85CA9"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6D4BBF" w:rsidRDefault="006D4BBF" w:rsidP="00F85CA9">
      <w:pPr>
        <w:pStyle w:val="Paragraphedeliste"/>
        <w:ind w:left="426"/>
      </w:pPr>
    </w:p>
    <w:p w:rsidR="00F85CA9" w:rsidRDefault="00F85CA9" w:rsidP="00F85CA9">
      <w:pPr>
        <w:ind w:left="360"/>
      </w:pPr>
    </w:p>
    <w:p w:rsidR="00F85CA9" w:rsidRPr="00065FCE" w:rsidRDefault="00F85CA9" w:rsidP="00F85CA9">
      <w:pPr>
        <w:pStyle w:val="Titre2"/>
        <w:numPr>
          <w:ilvl w:val="0"/>
          <w:numId w:val="35"/>
        </w:numPr>
      </w:pPr>
      <w:r>
        <w:t>L</w:t>
      </w:r>
      <w:r w:rsidRPr="00065FCE">
        <w:t xml:space="preserve">’expression d’un estimateur de la probabilité d’erreur et les réalisations pour les différents cas. </w:t>
      </w:r>
    </w:p>
    <w:p w:rsidR="00F85CA9" w:rsidRDefault="00F85CA9" w:rsidP="00F85CA9">
      <w:r w:rsidRPr="003465A6">
        <w:t xml:space="preserve">L’erreur théorique dans le cadre de la </w:t>
      </w:r>
      <w:r w:rsidRPr="00065FCE">
        <w:rPr>
          <w:b/>
        </w:rPr>
        <w:t>règle de Bayes</w:t>
      </w:r>
      <w:r w:rsidRPr="003465A6">
        <w:t xml:space="preserve"> s’écrit sous la forme</w:t>
      </w:r>
    </w:p>
    <w:p w:rsidR="00F85CA9" w:rsidRDefault="00F85CA9" w:rsidP="00F85CA9">
      <w:pPr>
        <w:ind w:firstLine="708"/>
      </w:pPr>
      <w:r w:rsidRPr="0076016B">
        <w:rPr>
          <w:position w:val="-34"/>
        </w:rPr>
        <w:object w:dxaOrig="5920" w:dyaOrig="800">
          <v:shape id="_x0000_i1040" type="#_x0000_t75" style="width:296.05pt;height:39.7pt" o:ole="">
            <v:imagedata r:id="rId43" o:title=""/>
          </v:shape>
          <o:OLEObject Type="Embed" ProgID="Equation.3" ShapeID="_x0000_i1040" DrawAspect="Content" ObjectID="_1337545138" r:id="rId44"/>
        </w:object>
      </w:r>
    </w:p>
    <w:p w:rsidR="00F85CA9" w:rsidRDefault="00F85CA9" w:rsidP="00F85CA9">
      <w:r>
        <w:t xml:space="preserve">Avec </w:t>
      </w:r>
      <w:r w:rsidRPr="00256A66">
        <w:rPr>
          <w:position w:val="-10"/>
        </w:rPr>
        <w:object w:dxaOrig="2659" w:dyaOrig="360">
          <v:shape id="_x0000_i1041" type="#_x0000_t75" style="width:133.25pt;height:18.15pt" o:ole="">
            <v:imagedata r:id="rId45" o:title=""/>
          </v:shape>
          <o:OLEObject Type="Embed" ProgID="Equation.3" ShapeID="_x0000_i1041" DrawAspect="Content" ObjectID="_1337545139" r:id="rId46"/>
        </w:object>
      </w:r>
      <w:r>
        <w:t> : carré de la distance de Mahalanobis entre les 2 classes</w:t>
      </w:r>
    </w:p>
    <w:p w:rsidR="00F85CA9" w:rsidRDefault="00F85CA9" w:rsidP="00F85CA9">
      <w:r w:rsidRPr="00065FCE">
        <w:rPr>
          <w:b/>
        </w:rPr>
        <w:t>La borne de Batthacharyya</w:t>
      </w:r>
      <w:r w:rsidRPr="0076016B">
        <w:t xml:space="preserve"> a pour expression</w:t>
      </w:r>
    </w:p>
    <w:p w:rsidR="00F85CA9" w:rsidRDefault="00F85CA9" w:rsidP="00F85CA9">
      <w:pPr>
        <w:ind w:firstLine="708"/>
      </w:pPr>
      <w:r w:rsidRPr="0076016B">
        <w:rPr>
          <w:position w:val="-12"/>
        </w:rPr>
        <w:object w:dxaOrig="1520" w:dyaOrig="420">
          <v:shape id="_x0000_i1042" type="#_x0000_t75" style="width:76.05pt;height:20.85pt" o:ole="">
            <v:imagedata r:id="rId47" o:title=""/>
          </v:shape>
          <o:OLEObject Type="Embed" ProgID="Equation.3" ShapeID="_x0000_i1042" DrawAspect="Content" ObjectID="_1337545140" r:id="rId48"/>
        </w:object>
      </w:r>
      <w:r>
        <w:t xml:space="preserve">Avec </w:t>
      </w:r>
      <w:r w:rsidRPr="0076016B">
        <w:rPr>
          <w:position w:val="-34"/>
        </w:rPr>
        <w:object w:dxaOrig="5780" w:dyaOrig="1060">
          <v:shape id="_x0000_i1043" type="#_x0000_t75" style="width:288.65pt;height:53.15pt" o:ole="">
            <v:imagedata r:id="rId49" o:title=""/>
          </v:shape>
          <o:OLEObject Type="Embed" ProgID="Equation.3" ShapeID="_x0000_i1043" DrawAspect="Content" ObjectID="_1337545141" r:id="rId50"/>
        </w:object>
      </w:r>
    </w:p>
    <w:tbl>
      <w:tblPr>
        <w:tblW w:w="0" w:type="auto"/>
        <w:tblInd w:w="969"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639"/>
        <w:gridCol w:w="1510"/>
        <w:gridCol w:w="2588"/>
        <w:gridCol w:w="2405"/>
      </w:tblGrid>
      <w:tr w:rsidR="00F85CA9" w:rsidRPr="00C05F9C" w:rsidTr="00F85CA9">
        <w:tc>
          <w:tcPr>
            <w:tcW w:w="639" w:type="dxa"/>
            <w:tcBorders>
              <w:top w:val="single" w:sz="8" w:space="0" w:color="7BA0CD"/>
              <w:left w:val="single" w:sz="8" w:space="0" w:color="7BA0CD"/>
              <w:bottom w:val="single" w:sz="8" w:space="0" w:color="7BA0CD"/>
              <w:right w:val="nil"/>
            </w:tcBorders>
            <w:shd w:val="clear" w:color="auto" w:fill="4F81BD"/>
          </w:tcPr>
          <w:p w:rsidR="00F85CA9" w:rsidRPr="00C05F9C" w:rsidRDefault="00F85CA9" w:rsidP="008348A2">
            <w:pPr>
              <w:spacing w:line="240" w:lineRule="auto"/>
              <w:jc w:val="center"/>
              <w:rPr>
                <w:b/>
                <w:bCs/>
                <w:color w:val="FFFFFF"/>
              </w:rPr>
            </w:pPr>
            <w:r w:rsidRPr="00C05F9C">
              <w:rPr>
                <w:b/>
                <w:bCs/>
                <w:color w:val="FFFFFF"/>
              </w:rPr>
              <w:t>Cas</w:t>
            </w:r>
          </w:p>
        </w:tc>
        <w:tc>
          <w:tcPr>
            <w:tcW w:w="1510" w:type="dxa"/>
            <w:tcBorders>
              <w:top w:val="single" w:sz="8" w:space="0" w:color="7BA0CD"/>
              <w:left w:val="nil"/>
              <w:bottom w:val="single" w:sz="8" w:space="0" w:color="7BA0CD"/>
              <w:right w:val="nil"/>
            </w:tcBorders>
            <w:shd w:val="clear" w:color="auto" w:fill="4F81BD"/>
          </w:tcPr>
          <w:p w:rsidR="00F85CA9" w:rsidRPr="00C05F9C" w:rsidRDefault="00F85CA9" w:rsidP="008348A2">
            <w:pPr>
              <w:spacing w:line="240" w:lineRule="auto"/>
              <w:jc w:val="center"/>
              <w:rPr>
                <w:b/>
                <w:bCs/>
                <w:color w:val="FFFFFF"/>
              </w:rPr>
            </w:pPr>
            <w:r w:rsidRPr="00C05F9C">
              <w:rPr>
                <w:b/>
                <w:bCs/>
                <w:color w:val="FFFFFF"/>
              </w:rPr>
              <w:t>Erreur estimé</w:t>
            </w:r>
          </w:p>
        </w:tc>
        <w:tc>
          <w:tcPr>
            <w:tcW w:w="2588" w:type="dxa"/>
            <w:tcBorders>
              <w:top w:val="single" w:sz="8" w:space="0" w:color="7BA0CD"/>
              <w:left w:val="nil"/>
              <w:bottom w:val="single" w:sz="8" w:space="0" w:color="7BA0CD"/>
              <w:right w:val="nil"/>
            </w:tcBorders>
            <w:shd w:val="clear" w:color="auto" w:fill="4F81BD"/>
          </w:tcPr>
          <w:p w:rsidR="00F85CA9" w:rsidRPr="00C05F9C" w:rsidRDefault="00F85CA9" w:rsidP="008348A2">
            <w:pPr>
              <w:spacing w:line="240" w:lineRule="auto"/>
              <w:jc w:val="center"/>
              <w:rPr>
                <w:b/>
                <w:bCs/>
                <w:color w:val="FFFFFF"/>
              </w:rPr>
            </w:pPr>
            <w:r w:rsidRPr="00C05F9C">
              <w:rPr>
                <w:b/>
                <w:bCs/>
                <w:color w:val="FFFFFF"/>
              </w:rPr>
              <w:t>Erreur théorique de Bayes</w:t>
            </w:r>
          </w:p>
        </w:tc>
        <w:tc>
          <w:tcPr>
            <w:tcW w:w="2405" w:type="dxa"/>
            <w:tcBorders>
              <w:top w:val="single" w:sz="8" w:space="0" w:color="7BA0CD"/>
              <w:left w:val="nil"/>
              <w:bottom w:val="single" w:sz="8" w:space="0" w:color="7BA0CD"/>
              <w:right w:val="single" w:sz="8" w:space="0" w:color="7BA0CD"/>
            </w:tcBorders>
            <w:shd w:val="clear" w:color="auto" w:fill="4F81BD"/>
          </w:tcPr>
          <w:p w:rsidR="00F85CA9" w:rsidRPr="00C05F9C" w:rsidRDefault="00F85CA9" w:rsidP="008348A2">
            <w:pPr>
              <w:spacing w:line="240" w:lineRule="auto"/>
              <w:jc w:val="center"/>
              <w:rPr>
                <w:b/>
                <w:bCs/>
                <w:color w:val="FFFFFF"/>
              </w:rPr>
            </w:pPr>
            <w:r w:rsidRPr="00C05F9C">
              <w:rPr>
                <w:b/>
                <w:bCs/>
                <w:color w:val="FFFFFF"/>
              </w:rPr>
              <w:t>Borne de Batthacharyya</w:t>
            </w:r>
          </w:p>
        </w:tc>
      </w:tr>
      <w:tr w:rsidR="00F85CA9" w:rsidRPr="00C05F9C" w:rsidTr="00F85CA9">
        <w:tc>
          <w:tcPr>
            <w:tcW w:w="639" w:type="dxa"/>
            <w:tcBorders>
              <w:right w:val="nil"/>
            </w:tcBorders>
            <w:shd w:val="clear" w:color="auto" w:fill="D3DFEE"/>
          </w:tcPr>
          <w:p w:rsidR="00F85CA9" w:rsidRPr="00C05F9C" w:rsidRDefault="00F85CA9" w:rsidP="008348A2">
            <w:pPr>
              <w:spacing w:line="240" w:lineRule="auto"/>
              <w:jc w:val="center"/>
              <w:rPr>
                <w:b/>
                <w:bCs/>
              </w:rPr>
            </w:pPr>
            <w:r w:rsidRPr="00C05F9C">
              <w:rPr>
                <w:b/>
                <w:bCs/>
              </w:rPr>
              <w:t>A</w:t>
            </w:r>
          </w:p>
        </w:tc>
        <w:tc>
          <w:tcPr>
            <w:tcW w:w="1510" w:type="dxa"/>
            <w:tcBorders>
              <w:left w:val="nil"/>
              <w:right w:val="nil"/>
            </w:tcBorders>
            <w:shd w:val="clear" w:color="auto" w:fill="D3DFEE"/>
          </w:tcPr>
          <w:p w:rsidR="00F85CA9" w:rsidRPr="00C05F9C" w:rsidRDefault="00F85CA9" w:rsidP="008348A2">
            <w:pPr>
              <w:spacing w:line="240" w:lineRule="auto"/>
              <w:jc w:val="center"/>
              <w:rPr>
                <w:b/>
              </w:rPr>
            </w:pPr>
            <w:r w:rsidRPr="00C05F9C">
              <w:rPr>
                <w:b/>
              </w:rPr>
              <w:t>0.242</w:t>
            </w:r>
          </w:p>
        </w:tc>
        <w:tc>
          <w:tcPr>
            <w:tcW w:w="2588" w:type="dxa"/>
            <w:tcBorders>
              <w:left w:val="nil"/>
              <w:right w:val="nil"/>
            </w:tcBorders>
            <w:shd w:val="clear" w:color="auto" w:fill="D3DFEE"/>
          </w:tcPr>
          <w:p w:rsidR="00F85CA9" w:rsidRPr="00C05F9C" w:rsidRDefault="00F85CA9" w:rsidP="008348A2">
            <w:pPr>
              <w:spacing w:line="240" w:lineRule="auto"/>
              <w:jc w:val="center"/>
              <w:rPr>
                <w:b/>
              </w:rPr>
            </w:pPr>
            <w:r w:rsidRPr="00C05F9C">
              <w:rPr>
                <w:b/>
              </w:rPr>
              <w:t>0.2397501</w:t>
            </w:r>
          </w:p>
        </w:tc>
        <w:tc>
          <w:tcPr>
            <w:tcW w:w="2405" w:type="dxa"/>
            <w:tcBorders>
              <w:left w:val="nil"/>
            </w:tcBorders>
            <w:shd w:val="clear" w:color="auto" w:fill="D3DFEE"/>
          </w:tcPr>
          <w:p w:rsidR="00F85CA9" w:rsidRPr="00C05F9C" w:rsidRDefault="00F85CA9" w:rsidP="008348A2">
            <w:pPr>
              <w:spacing w:line="240" w:lineRule="auto"/>
              <w:jc w:val="center"/>
              <w:rPr>
                <w:b/>
              </w:rPr>
            </w:pPr>
          </w:p>
        </w:tc>
      </w:tr>
      <w:tr w:rsidR="00F85CA9" w:rsidRPr="00C05F9C" w:rsidTr="00F85CA9">
        <w:tc>
          <w:tcPr>
            <w:tcW w:w="639" w:type="dxa"/>
            <w:tcBorders>
              <w:right w:val="nil"/>
            </w:tcBorders>
          </w:tcPr>
          <w:p w:rsidR="00F85CA9" w:rsidRPr="00C05F9C" w:rsidRDefault="00F85CA9" w:rsidP="008348A2">
            <w:pPr>
              <w:spacing w:line="240" w:lineRule="auto"/>
              <w:jc w:val="center"/>
              <w:rPr>
                <w:b/>
                <w:bCs/>
              </w:rPr>
            </w:pPr>
            <w:r w:rsidRPr="00C05F9C">
              <w:rPr>
                <w:b/>
                <w:bCs/>
              </w:rPr>
              <w:t>B</w:t>
            </w:r>
          </w:p>
        </w:tc>
        <w:tc>
          <w:tcPr>
            <w:tcW w:w="1510" w:type="dxa"/>
            <w:tcBorders>
              <w:left w:val="nil"/>
              <w:right w:val="nil"/>
            </w:tcBorders>
          </w:tcPr>
          <w:p w:rsidR="00F85CA9" w:rsidRPr="00C05F9C" w:rsidRDefault="00F85CA9" w:rsidP="008348A2">
            <w:pPr>
              <w:spacing w:line="240" w:lineRule="auto"/>
              <w:jc w:val="center"/>
              <w:rPr>
                <w:b/>
              </w:rPr>
            </w:pPr>
            <w:r w:rsidRPr="00C05F9C">
              <w:rPr>
                <w:b/>
              </w:rPr>
              <w:t>0.413</w:t>
            </w:r>
          </w:p>
        </w:tc>
        <w:tc>
          <w:tcPr>
            <w:tcW w:w="2588" w:type="dxa"/>
            <w:tcBorders>
              <w:left w:val="nil"/>
              <w:right w:val="nil"/>
            </w:tcBorders>
          </w:tcPr>
          <w:p w:rsidR="00F85CA9" w:rsidRPr="00C05F9C" w:rsidRDefault="00F85CA9" w:rsidP="008348A2">
            <w:pPr>
              <w:spacing w:line="240" w:lineRule="auto"/>
              <w:jc w:val="center"/>
              <w:rPr>
                <w:b/>
              </w:rPr>
            </w:pPr>
            <w:r w:rsidRPr="00C05F9C">
              <w:rPr>
                <w:b/>
              </w:rPr>
              <w:t>0.03055968</w:t>
            </w:r>
          </w:p>
        </w:tc>
        <w:tc>
          <w:tcPr>
            <w:tcW w:w="2405" w:type="dxa"/>
            <w:tcBorders>
              <w:left w:val="nil"/>
            </w:tcBorders>
          </w:tcPr>
          <w:p w:rsidR="00F85CA9" w:rsidRPr="00C05F9C" w:rsidRDefault="00F85CA9" w:rsidP="008348A2">
            <w:pPr>
              <w:spacing w:line="240" w:lineRule="auto"/>
              <w:jc w:val="center"/>
              <w:rPr>
                <w:b/>
              </w:rPr>
            </w:pPr>
          </w:p>
        </w:tc>
      </w:tr>
      <w:tr w:rsidR="00F85CA9" w:rsidRPr="00C05F9C" w:rsidTr="00F85CA9">
        <w:tc>
          <w:tcPr>
            <w:tcW w:w="639" w:type="dxa"/>
            <w:tcBorders>
              <w:right w:val="nil"/>
            </w:tcBorders>
            <w:shd w:val="clear" w:color="auto" w:fill="D3DFEE"/>
          </w:tcPr>
          <w:p w:rsidR="00F85CA9" w:rsidRPr="00C05F9C" w:rsidRDefault="00F85CA9" w:rsidP="008348A2">
            <w:pPr>
              <w:spacing w:line="240" w:lineRule="auto"/>
              <w:jc w:val="center"/>
              <w:rPr>
                <w:b/>
                <w:bCs/>
              </w:rPr>
            </w:pPr>
            <w:r w:rsidRPr="00C05F9C">
              <w:rPr>
                <w:b/>
                <w:bCs/>
              </w:rPr>
              <w:t>C</w:t>
            </w:r>
          </w:p>
        </w:tc>
        <w:tc>
          <w:tcPr>
            <w:tcW w:w="1510" w:type="dxa"/>
            <w:tcBorders>
              <w:left w:val="nil"/>
              <w:right w:val="nil"/>
            </w:tcBorders>
            <w:shd w:val="clear" w:color="auto" w:fill="D3DFEE"/>
          </w:tcPr>
          <w:p w:rsidR="00F85CA9" w:rsidRPr="00C05F9C" w:rsidRDefault="00F85CA9" w:rsidP="008348A2">
            <w:pPr>
              <w:spacing w:line="240" w:lineRule="auto"/>
              <w:jc w:val="center"/>
              <w:rPr>
                <w:b/>
              </w:rPr>
            </w:pPr>
            <w:r w:rsidRPr="00C05F9C">
              <w:rPr>
                <w:b/>
              </w:rPr>
              <w:t>0.184</w:t>
            </w:r>
          </w:p>
        </w:tc>
        <w:tc>
          <w:tcPr>
            <w:tcW w:w="2588" w:type="dxa"/>
            <w:tcBorders>
              <w:left w:val="nil"/>
              <w:right w:val="nil"/>
            </w:tcBorders>
            <w:shd w:val="clear" w:color="auto" w:fill="D3DFEE"/>
          </w:tcPr>
          <w:p w:rsidR="00F85CA9" w:rsidRPr="00C05F9C" w:rsidRDefault="00F85CA9" w:rsidP="008348A2">
            <w:pPr>
              <w:spacing w:line="240" w:lineRule="auto"/>
              <w:jc w:val="center"/>
              <w:rPr>
                <w:b/>
              </w:rPr>
            </w:pPr>
            <w:r w:rsidRPr="00C05F9C">
              <w:rPr>
                <w:b/>
              </w:rPr>
              <w:t>0.1990124</w:t>
            </w:r>
          </w:p>
        </w:tc>
        <w:tc>
          <w:tcPr>
            <w:tcW w:w="2405" w:type="dxa"/>
            <w:tcBorders>
              <w:left w:val="nil"/>
            </w:tcBorders>
            <w:shd w:val="clear" w:color="auto" w:fill="D3DFEE"/>
          </w:tcPr>
          <w:p w:rsidR="00F85CA9" w:rsidRPr="00C05F9C" w:rsidRDefault="00F85CA9" w:rsidP="008348A2">
            <w:pPr>
              <w:spacing w:line="240" w:lineRule="auto"/>
              <w:jc w:val="center"/>
              <w:rPr>
                <w:b/>
              </w:rPr>
            </w:pPr>
          </w:p>
        </w:tc>
      </w:tr>
      <w:tr w:rsidR="00F85CA9" w:rsidRPr="00C05F9C" w:rsidTr="00F85CA9">
        <w:tc>
          <w:tcPr>
            <w:tcW w:w="639" w:type="dxa"/>
            <w:tcBorders>
              <w:right w:val="nil"/>
            </w:tcBorders>
          </w:tcPr>
          <w:p w:rsidR="00F85CA9" w:rsidRPr="00C05F9C" w:rsidRDefault="00F85CA9" w:rsidP="008348A2">
            <w:pPr>
              <w:spacing w:line="240" w:lineRule="auto"/>
              <w:jc w:val="center"/>
              <w:rPr>
                <w:b/>
                <w:bCs/>
              </w:rPr>
            </w:pPr>
            <w:r w:rsidRPr="00C05F9C">
              <w:rPr>
                <w:b/>
                <w:bCs/>
              </w:rPr>
              <w:t>D</w:t>
            </w:r>
          </w:p>
        </w:tc>
        <w:tc>
          <w:tcPr>
            <w:tcW w:w="1510" w:type="dxa"/>
            <w:tcBorders>
              <w:left w:val="nil"/>
              <w:right w:val="nil"/>
            </w:tcBorders>
          </w:tcPr>
          <w:p w:rsidR="00F85CA9" w:rsidRPr="00C05F9C" w:rsidRDefault="00F85CA9" w:rsidP="008348A2">
            <w:pPr>
              <w:spacing w:line="240" w:lineRule="auto"/>
              <w:jc w:val="center"/>
              <w:rPr>
                <w:b/>
              </w:rPr>
            </w:pPr>
            <w:r w:rsidRPr="00C05F9C">
              <w:rPr>
                <w:b/>
              </w:rPr>
              <w:t>0.235</w:t>
            </w:r>
          </w:p>
        </w:tc>
        <w:tc>
          <w:tcPr>
            <w:tcW w:w="2588" w:type="dxa"/>
            <w:tcBorders>
              <w:left w:val="nil"/>
              <w:right w:val="nil"/>
            </w:tcBorders>
          </w:tcPr>
          <w:p w:rsidR="00F85CA9" w:rsidRPr="00C05F9C" w:rsidRDefault="00F85CA9" w:rsidP="008348A2">
            <w:pPr>
              <w:spacing w:line="240" w:lineRule="auto"/>
              <w:jc w:val="center"/>
              <w:rPr>
                <w:b/>
              </w:rPr>
            </w:pPr>
          </w:p>
        </w:tc>
        <w:tc>
          <w:tcPr>
            <w:tcW w:w="2405" w:type="dxa"/>
            <w:tcBorders>
              <w:left w:val="nil"/>
            </w:tcBorders>
          </w:tcPr>
          <w:p w:rsidR="00F85CA9" w:rsidRPr="00C05F9C" w:rsidRDefault="00F85CA9" w:rsidP="008348A2">
            <w:pPr>
              <w:spacing w:line="240" w:lineRule="auto"/>
              <w:jc w:val="center"/>
              <w:rPr>
                <w:b/>
              </w:rPr>
            </w:pPr>
            <w:r w:rsidRPr="00C05F9C">
              <w:rPr>
                <w:b/>
              </w:rPr>
              <w:t>0.3651484</w:t>
            </w:r>
          </w:p>
        </w:tc>
      </w:tr>
      <w:tr w:rsidR="00F85CA9" w:rsidRPr="00C05F9C" w:rsidTr="00F85CA9">
        <w:tc>
          <w:tcPr>
            <w:tcW w:w="639" w:type="dxa"/>
            <w:tcBorders>
              <w:right w:val="nil"/>
            </w:tcBorders>
            <w:shd w:val="clear" w:color="auto" w:fill="D3DFEE"/>
          </w:tcPr>
          <w:p w:rsidR="00F85CA9" w:rsidRPr="00C05F9C" w:rsidRDefault="00F85CA9" w:rsidP="008348A2">
            <w:pPr>
              <w:spacing w:line="240" w:lineRule="auto"/>
              <w:jc w:val="center"/>
              <w:rPr>
                <w:b/>
                <w:bCs/>
              </w:rPr>
            </w:pPr>
            <w:r w:rsidRPr="00C05F9C">
              <w:rPr>
                <w:b/>
                <w:bCs/>
              </w:rPr>
              <w:t>E</w:t>
            </w:r>
          </w:p>
        </w:tc>
        <w:tc>
          <w:tcPr>
            <w:tcW w:w="1510" w:type="dxa"/>
            <w:tcBorders>
              <w:left w:val="nil"/>
              <w:right w:val="nil"/>
            </w:tcBorders>
            <w:shd w:val="clear" w:color="auto" w:fill="D3DFEE"/>
          </w:tcPr>
          <w:p w:rsidR="00F85CA9" w:rsidRPr="00C05F9C" w:rsidRDefault="00F85CA9" w:rsidP="008348A2">
            <w:pPr>
              <w:spacing w:line="240" w:lineRule="auto"/>
              <w:jc w:val="center"/>
              <w:rPr>
                <w:b/>
              </w:rPr>
            </w:pPr>
            <w:r w:rsidRPr="00C05F9C">
              <w:rPr>
                <w:b/>
              </w:rPr>
              <w:t>0.273</w:t>
            </w:r>
          </w:p>
        </w:tc>
        <w:tc>
          <w:tcPr>
            <w:tcW w:w="2588" w:type="dxa"/>
            <w:tcBorders>
              <w:left w:val="nil"/>
              <w:right w:val="nil"/>
            </w:tcBorders>
            <w:shd w:val="clear" w:color="auto" w:fill="D3DFEE"/>
          </w:tcPr>
          <w:p w:rsidR="00F85CA9" w:rsidRPr="00C05F9C" w:rsidRDefault="00F85CA9" w:rsidP="008348A2">
            <w:pPr>
              <w:spacing w:line="240" w:lineRule="auto"/>
              <w:jc w:val="center"/>
              <w:rPr>
                <w:b/>
              </w:rPr>
            </w:pPr>
          </w:p>
        </w:tc>
        <w:tc>
          <w:tcPr>
            <w:tcW w:w="2405" w:type="dxa"/>
            <w:tcBorders>
              <w:left w:val="nil"/>
            </w:tcBorders>
            <w:shd w:val="clear" w:color="auto" w:fill="D3DFEE"/>
          </w:tcPr>
          <w:p w:rsidR="00F85CA9" w:rsidRPr="00C05F9C" w:rsidRDefault="00F85CA9" w:rsidP="008348A2">
            <w:pPr>
              <w:spacing w:line="240" w:lineRule="auto"/>
              <w:jc w:val="center"/>
              <w:rPr>
                <w:b/>
              </w:rPr>
            </w:pPr>
            <w:r w:rsidRPr="00C05F9C">
              <w:rPr>
                <w:b/>
              </w:rPr>
              <w:t>0.3855018</w:t>
            </w:r>
          </w:p>
        </w:tc>
      </w:tr>
    </w:tbl>
    <w:p w:rsidR="00F85CA9" w:rsidRDefault="00F85CA9" w:rsidP="00F85CA9">
      <w:pPr>
        <w:ind w:left="360" w:firstLine="348"/>
      </w:pPr>
    </w:p>
    <w:p w:rsidR="006D4BBF" w:rsidRPr="00065FCE" w:rsidRDefault="006D4BBF" w:rsidP="006D4BBF">
      <w:pPr>
        <w:ind w:firstLine="708"/>
        <w:rPr>
          <w:b/>
        </w:rPr>
      </w:pPr>
      <w:r w:rsidRPr="00065FCE">
        <w:rPr>
          <w:b/>
        </w:rPr>
        <w:t>Analyse des résultats:</w:t>
      </w:r>
    </w:p>
    <w:p w:rsidR="006D4BBF" w:rsidRDefault="006D4BBF" w:rsidP="006D4BBF">
      <w:pPr>
        <w:jc w:val="both"/>
      </w:pPr>
      <w:r>
        <w:t>On remarque que l</w:t>
      </w:r>
      <w:r w:rsidRPr="00065FCE">
        <w:t xml:space="preserve">a probabilité d’erreur théorique et celle estimée dans les cas a et </w:t>
      </w:r>
      <w:r>
        <w:t xml:space="preserve">c </w:t>
      </w:r>
      <w:r w:rsidRPr="00065FCE">
        <w:t>se rapprochent car on a deu</w:t>
      </w:r>
      <w:r>
        <w:t>x échantillons de même</w:t>
      </w:r>
      <w:r w:rsidRPr="00256A66">
        <w:rPr>
          <w:position w:val="-6"/>
        </w:rPr>
        <w:object w:dxaOrig="220" w:dyaOrig="220">
          <v:shape id="_x0000_i1044" type="#_x0000_t75" style="width:10.75pt;height:10.75pt" o:ole="">
            <v:imagedata r:id="rId51" o:title=""/>
          </v:shape>
          <o:OLEObject Type="Embed" ProgID="Equation.3" ShapeID="_x0000_i1044" DrawAspect="Content" ObjectID="_1337545142" r:id="rId52"/>
        </w:object>
      </w:r>
      <w:r>
        <w:t>et</w:t>
      </w:r>
      <w:r w:rsidRPr="00065FCE">
        <w:rPr>
          <w:position w:val="-8"/>
        </w:rPr>
        <w:object w:dxaOrig="260" w:dyaOrig="300">
          <v:shape id="_x0000_i1045" type="#_x0000_t75" style="width:12.8pt;height:14.8pt" o:ole="">
            <v:imagedata r:id="rId53" o:title=""/>
          </v:shape>
          <o:OLEObject Type="Embed" ProgID="Equation.3" ShapeID="_x0000_i1045" DrawAspect="Content" ObjectID="_1337545143" r:id="rId54"/>
        </w:object>
      </w:r>
      <w:r w:rsidRPr="00065FCE">
        <w:t>. Les paramètres et les calculs sont donc</w:t>
      </w:r>
      <w:r>
        <w:t xml:space="preserve"> </w:t>
      </w:r>
      <w:r w:rsidRPr="00065FCE">
        <w:t>cohérents et pertinents.</w:t>
      </w:r>
      <w:r>
        <w:t xml:space="preserve"> Par contre, d</w:t>
      </w:r>
      <w:r w:rsidRPr="00065FCE">
        <w:t>ans le cas b, on note un écart significatif. C’est écart s’explique par le fait qu’on l’on part de</w:t>
      </w:r>
      <w:r>
        <w:t xml:space="preserve"> </w:t>
      </w:r>
      <w:r w:rsidRPr="00065FCE">
        <w:t>probabilité a priori égale à 0.1 pour la classe 1 alors qu’elle est en réalité de 0.5 (les cardinaux</w:t>
      </w:r>
      <w:r>
        <w:t xml:space="preserve"> </w:t>
      </w:r>
      <w:r w:rsidRPr="00065FCE">
        <w:t>des classes 1 et 2 sont égaux tous les deux à 500).Dans les cas d et e, on se rapproche des cas a et c car avec une probabilité a priori de 0.6 pour la</w:t>
      </w:r>
      <w:r>
        <w:t xml:space="preserve"> </w:t>
      </w:r>
      <w:r w:rsidRPr="00065FCE">
        <w:t>classe 1. Mais l’écart entre théorie et valeur estimée reste supérieur entre à celui que l’on a</w:t>
      </w:r>
      <w:r>
        <w:t xml:space="preserve"> </w:t>
      </w:r>
      <w:r w:rsidRPr="00065FCE">
        <w:t>dans les cas a et c.</w:t>
      </w:r>
    </w:p>
    <w:p w:rsidR="000063F6" w:rsidRDefault="000063F6" w:rsidP="000063F6"/>
    <w:p w:rsidR="003E3DE2" w:rsidRDefault="003E3DE2" w:rsidP="00444E16"/>
    <w:p w:rsidR="006D4BBF" w:rsidRDefault="006D4BBF" w:rsidP="00444E16"/>
    <w:p w:rsidR="006D4BBF" w:rsidRDefault="006D4BBF" w:rsidP="00444E16"/>
    <w:p w:rsidR="006D4BBF" w:rsidRDefault="006D4BBF" w:rsidP="00444E16"/>
    <w:p w:rsidR="006D4BBF" w:rsidRDefault="006D4BBF" w:rsidP="00444E16"/>
    <w:p w:rsidR="006D4BBF" w:rsidRDefault="006D4BBF" w:rsidP="00444E16"/>
    <w:p w:rsidR="006D4BBF" w:rsidRDefault="006D4BBF" w:rsidP="00444E16"/>
    <w:p w:rsidR="006D4BBF" w:rsidRDefault="006D4BBF" w:rsidP="00444E16"/>
    <w:p w:rsidR="006D4BBF" w:rsidRDefault="006D4BBF" w:rsidP="00444E16"/>
    <w:p w:rsidR="006D4BBF" w:rsidRPr="006D4BBF" w:rsidRDefault="006D4BBF" w:rsidP="006D4BBF">
      <w:pPr>
        <w:pStyle w:val="Titre1"/>
        <w:numPr>
          <w:ilvl w:val="0"/>
          <w:numId w:val="40"/>
        </w:numPr>
      </w:pPr>
      <w:r w:rsidRPr="006D4BBF">
        <w:rPr>
          <w:rStyle w:val="Rfrenceintense"/>
          <w:b/>
          <w:bCs/>
          <w:smallCaps w:val="0"/>
          <w:color w:val="365F91" w:themeColor="accent1" w:themeShade="BF"/>
          <w:spacing w:val="0"/>
        </w:rPr>
        <w:lastRenderedPageBreak/>
        <w:t>Règle de LDA, QDA sur les données Crabes et évaluation des performances</w:t>
      </w:r>
    </w:p>
    <w:p w:rsidR="006D4BBF" w:rsidRDefault="006D4BBF" w:rsidP="00444E16"/>
    <w:p w:rsidR="006D4BBF" w:rsidRDefault="006D4BBF" w:rsidP="00444E16"/>
    <w:p w:rsidR="006D4BBF" w:rsidRDefault="006D4BBF" w:rsidP="006D4BBF">
      <w:pPr>
        <w:pStyle w:val="Titre2"/>
        <w:numPr>
          <w:ilvl w:val="0"/>
          <w:numId w:val="45"/>
        </w:numPr>
      </w:pPr>
      <w:r w:rsidRPr="00F8007E">
        <w:t>Explication ce que fait des instructions suivantes de langage R</w:t>
      </w:r>
    </w:p>
    <w:p w:rsidR="001E0C4B" w:rsidRPr="001E0C4B" w:rsidRDefault="001E0C4B" w:rsidP="001E0C4B"/>
    <w:p w:rsidR="006D4BBF" w:rsidRDefault="001E0C4B" w:rsidP="001E0C4B">
      <w:pPr>
        <w:pStyle w:val="Paragraphedeliste"/>
        <w:numPr>
          <w:ilvl w:val="0"/>
          <w:numId w:val="33"/>
        </w:numPr>
        <w:spacing w:after="200"/>
        <w:jc w:val="both"/>
      </w:pPr>
      <w:r w:rsidRPr="001E0C4B">
        <w:rPr>
          <w:b/>
        </w:rPr>
        <w:t>c</w:t>
      </w:r>
      <w:r w:rsidR="006D4BBF" w:rsidRPr="001E0C4B">
        <w:rPr>
          <w:b/>
        </w:rPr>
        <w:t>ontour :</w:t>
      </w:r>
      <w:r w:rsidR="006D4BBF">
        <w:t xml:space="preserve"> est une fonction générique avec une méthode par défaut dans la base R. Il est de créer un contour de la parcelle, ou ajouter des lignes de contour d'une parcelle.</w:t>
      </w:r>
    </w:p>
    <w:p w:rsidR="006D4BBF" w:rsidRDefault="006D4BBF" w:rsidP="001E0C4B">
      <w:pPr>
        <w:pStyle w:val="Paragraphedeliste"/>
        <w:numPr>
          <w:ilvl w:val="0"/>
          <w:numId w:val="33"/>
        </w:numPr>
        <w:spacing w:after="200"/>
        <w:jc w:val="both"/>
      </w:pPr>
      <w:r w:rsidRPr="001E0C4B">
        <w:rPr>
          <w:b/>
        </w:rPr>
        <w:t>sample :</w:t>
      </w:r>
      <w:r>
        <w:t xml:space="preserve"> Cette fonction prend un échantillon avec la</w:t>
      </w:r>
      <w:r w:rsidRPr="00C547EA">
        <w:t xml:space="preserve"> taille spécifiée</w:t>
      </w:r>
      <w:r>
        <w:t xml:space="preserve"> dans l’ensemble des éléments en utilisant soit avec, soit sans remplacement.</w:t>
      </w:r>
    </w:p>
    <w:p w:rsidR="006D4BBF" w:rsidRDefault="006D4BBF" w:rsidP="001E0C4B">
      <w:pPr>
        <w:pStyle w:val="Paragraphedeliste"/>
        <w:numPr>
          <w:ilvl w:val="0"/>
          <w:numId w:val="33"/>
        </w:numPr>
        <w:spacing w:after="200"/>
        <w:jc w:val="both"/>
      </w:pPr>
      <w:r w:rsidRPr="001E0C4B">
        <w:rPr>
          <w:b/>
        </w:rPr>
        <w:t>lda :</w:t>
      </w:r>
      <w:r>
        <w:t xml:space="preserve"> effectue l’analyse discriminante linéaire</w:t>
      </w:r>
    </w:p>
    <w:p w:rsidR="006D4BBF" w:rsidRDefault="006D4BBF" w:rsidP="001E0C4B">
      <w:pPr>
        <w:pStyle w:val="Paragraphedeliste"/>
        <w:numPr>
          <w:ilvl w:val="0"/>
          <w:numId w:val="33"/>
        </w:numPr>
        <w:spacing w:after="200"/>
        <w:jc w:val="both"/>
      </w:pPr>
      <w:r w:rsidRPr="001E0C4B">
        <w:rPr>
          <w:b/>
        </w:rPr>
        <w:t>qda :</w:t>
      </w:r>
      <w:r>
        <w:t xml:space="preserve"> effectue l’analyse discriminante quadratique</w:t>
      </w:r>
    </w:p>
    <w:p w:rsidR="001E0C4B" w:rsidRPr="00F8007E" w:rsidRDefault="001E0C4B" w:rsidP="001E0C4B">
      <w:pPr>
        <w:numPr>
          <w:ilvl w:val="0"/>
          <w:numId w:val="43"/>
        </w:numPr>
        <w:spacing w:after="200"/>
        <w:jc w:val="both"/>
        <w:rPr>
          <w:i/>
        </w:rPr>
      </w:pPr>
      <w:r w:rsidRPr="00F8007E">
        <w:rPr>
          <w:i/>
        </w:rPr>
        <w:t>La différence entre predict et predict.lda</w:t>
      </w:r>
    </w:p>
    <w:p w:rsidR="001E0C4B" w:rsidRDefault="001E0C4B" w:rsidP="001E0C4B">
      <w:pPr>
        <w:numPr>
          <w:ilvl w:val="0"/>
          <w:numId w:val="44"/>
        </w:numPr>
        <w:spacing w:after="200"/>
        <w:jc w:val="both"/>
      </w:pPr>
      <w:r w:rsidRPr="00F8007E">
        <w:rPr>
          <w:b/>
        </w:rPr>
        <w:t>preditct :</w:t>
      </w:r>
      <w:r>
        <w:t xml:space="preserve"> il s'agit d'une fonction générique pour les prédictions à partir des résultats des différents modèles montage des fonctions. La fonction invoque notamment les méthodes qui dépendent de la classe du premier argument. </w:t>
      </w:r>
    </w:p>
    <w:p w:rsidR="001E0C4B" w:rsidRDefault="001E0C4B" w:rsidP="001E0C4B">
      <w:pPr>
        <w:numPr>
          <w:ilvl w:val="0"/>
          <w:numId w:val="44"/>
        </w:numPr>
        <w:spacing w:after="200"/>
        <w:jc w:val="both"/>
      </w:pPr>
      <w:r w:rsidRPr="00F8007E">
        <w:rPr>
          <w:b/>
        </w:rPr>
        <w:t>predict.lda</w:t>
      </w:r>
      <w:r>
        <w:t xml:space="preserve"> : </w:t>
      </w:r>
      <w:r w:rsidRPr="00BD4503">
        <w:t xml:space="preserve">effectue une classification </w:t>
      </w:r>
      <w:r>
        <w:t xml:space="preserve">des observations </w:t>
      </w:r>
      <w:r w:rsidRPr="00BD4503">
        <w:t>multi variant</w:t>
      </w:r>
      <w:r>
        <w:t>es</w:t>
      </w:r>
      <w:r w:rsidRPr="00BD4503">
        <w:t>, et aus</w:t>
      </w:r>
      <w:r>
        <w:t>si projette les données sur les d</w:t>
      </w:r>
      <w:r w:rsidRPr="00BD4503">
        <w:t>iscriminants linéaires</w:t>
      </w:r>
      <w:r>
        <w:t xml:space="preserve">. </w:t>
      </w:r>
    </w:p>
    <w:p w:rsidR="001E0C4B" w:rsidRPr="00653795" w:rsidRDefault="001E0C4B" w:rsidP="001E0C4B">
      <w:pPr>
        <w:pStyle w:val="Titre2"/>
        <w:numPr>
          <w:ilvl w:val="0"/>
          <w:numId w:val="45"/>
        </w:numPr>
      </w:pPr>
      <w:r w:rsidRPr="00653795">
        <w:t>Donner un estimateur de la probabilité d’erreur et calculer sa réalisation en se servant des données d’apprentissage utilisées pour effectuer la LDA et la QDA</w:t>
      </w:r>
    </w:p>
    <w:p w:rsidR="001E0C4B" w:rsidRDefault="001E0C4B" w:rsidP="001E0C4B">
      <w:pPr>
        <w:ind w:firstLine="708"/>
        <w:jc w:val="both"/>
      </w:pPr>
      <w:r>
        <w:t xml:space="preserve">Application numérique des paramètres : </w:t>
      </w:r>
    </w:p>
    <w:p w:rsidR="001E0C4B" w:rsidRDefault="001E0C4B" w:rsidP="001E0C4B">
      <w:pPr>
        <w:ind w:left="708" w:firstLine="708"/>
        <w:jc w:val="both"/>
      </w:pPr>
      <w:r w:rsidRPr="0084122B">
        <w:rPr>
          <w:position w:val="-10"/>
        </w:rPr>
        <w:object w:dxaOrig="840" w:dyaOrig="340">
          <v:shape id="_x0000_i1046" type="#_x0000_t75" style="width:41.7pt;height:16.8pt" o:ole="">
            <v:imagedata r:id="rId55" o:title=""/>
          </v:shape>
          <o:OLEObject Type="Embed" ProgID="Equation.3" ShapeID="_x0000_i1046" DrawAspect="Content" ObjectID="_1337545144" r:id="rId56"/>
        </w:object>
      </w:r>
      <w:r>
        <w:t xml:space="preserve">, </w:t>
      </w:r>
      <w:r w:rsidRPr="00F8493C">
        <w:rPr>
          <w:position w:val="-10"/>
        </w:rPr>
        <w:object w:dxaOrig="2820" w:dyaOrig="380">
          <v:shape id="_x0000_i1047" type="#_x0000_t75" style="width:141.3pt;height:18.85pt" o:ole="">
            <v:imagedata r:id="rId57" o:title=""/>
          </v:shape>
          <o:OLEObject Type="Embed" ProgID="Equation.3" ShapeID="_x0000_i1047" DrawAspect="Content" ObjectID="_1337545145" r:id="rId58"/>
        </w:object>
      </w:r>
      <w:r w:rsidRPr="00F8493C">
        <w:t xml:space="preserve"> </w:t>
      </w:r>
      <w:r>
        <w:t>,</w:t>
      </w:r>
      <w:r w:rsidRPr="0084122B">
        <w:rPr>
          <w:position w:val="-10"/>
        </w:rPr>
        <w:object w:dxaOrig="2780" w:dyaOrig="380">
          <v:shape id="_x0000_i1048" type="#_x0000_t75" style="width:139.3pt;height:18.85pt" o:ole="">
            <v:imagedata r:id="rId59" o:title=""/>
          </v:shape>
          <o:OLEObject Type="Embed" ProgID="Equation.3" ShapeID="_x0000_i1048" DrawAspect="Content" ObjectID="_1337545146" r:id="rId60"/>
        </w:object>
      </w:r>
    </w:p>
    <w:p w:rsidR="001E0C4B" w:rsidRDefault="001E0C4B" w:rsidP="001E0C4B">
      <w:pPr>
        <w:ind w:firstLine="708"/>
        <w:jc w:val="both"/>
      </w:pPr>
      <w:r>
        <w:t>En appliquant les 2 méthodes LDA et QDA sur l’ensemble des données, nous avons reçu des différentes valeurs de probabilité d’erreur.</w:t>
      </w:r>
    </w:p>
    <w:p w:rsidR="001E0C4B" w:rsidRDefault="001E0C4B" w:rsidP="001E0C4B">
      <w:pPr>
        <w:numPr>
          <w:ilvl w:val="0"/>
          <w:numId w:val="44"/>
        </w:numPr>
        <w:spacing w:after="200"/>
        <w:jc w:val="both"/>
      </w:pPr>
      <w:r w:rsidRPr="00777660">
        <w:rPr>
          <w:b/>
        </w:rPr>
        <w:t>Pour la méthode LDA :</w:t>
      </w:r>
      <w:r>
        <w:t xml:space="preserve"> La densité des variables explicatives dans chaque groupe suit une loi multi-normale de même matrice de variances dans chacun des groupes</w:t>
      </w:r>
      <w:r w:rsidRPr="00B30386">
        <w:rPr>
          <w:position w:val="-12"/>
        </w:rPr>
        <w:object w:dxaOrig="960" w:dyaOrig="360">
          <v:shape id="_x0000_i1049" type="#_x0000_t75" style="width:47.8pt;height:18.15pt" o:ole="">
            <v:imagedata r:id="rId61" o:title=""/>
          </v:shape>
          <o:OLEObject Type="Embed" ProgID="Equation.3" ShapeID="_x0000_i1049" DrawAspect="Content" ObjectID="_1337545147" r:id="rId62"/>
        </w:object>
      </w:r>
      <w:r>
        <w:t xml:space="preserve">  où </w:t>
      </w:r>
      <w:r w:rsidRPr="00F8493C">
        <w:rPr>
          <w:position w:val="-30"/>
        </w:rPr>
        <w:object w:dxaOrig="6100" w:dyaOrig="720">
          <v:shape id="_x0000_i1050" type="#_x0000_t75" style="width:304.8pt;height:36.35pt" o:ole="">
            <v:imagedata r:id="rId63" o:title=""/>
          </v:shape>
          <o:OLEObject Type="Embed" ProgID="Equation.3" ShapeID="_x0000_i1050" DrawAspect="Content" ObjectID="_1337545148" r:id="rId64"/>
        </w:object>
      </w:r>
    </w:p>
    <w:p w:rsidR="001E0C4B" w:rsidRDefault="001E0C4B" w:rsidP="001E0C4B">
      <w:pPr>
        <w:ind w:left="720"/>
        <w:jc w:val="both"/>
      </w:pPr>
      <w:r>
        <w:t>Dans ce cas, la probabilité théorique est calculée par la règle de Bayes</w:t>
      </w:r>
    </w:p>
    <w:p w:rsidR="001E0C4B" w:rsidRDefault="001E0C4B" w:rsidP="001E0C4B">
      <w:pPr>
        <w:ind w:left="720"/>
        <w:jc w:val="both"/>
      </w:pPr>
      <w:r w:rsidRPr="0076016B">
        <w:rPr>
          <w:position w:val="-34"/>
        </w:rPr>
        <w:object w:dxaOrig="5920" w:dyaOrig="800">
          <v:shape id="_x0000_i1051" type="#_x0000_t75" style="width:296.05pt;height:39.7pt" o:ole="">
            <v:imagedata r:id="rId43" o:title=""/>
          </v:shape>
          <o:OLEObject Type="Embed" ProgID="Equation.3" ShapeID="_x0000_i1051" DrawAspect="Content" ObjectID="_1337545149" r:id="rId65"/>
        </w:object>
      </w:r>
    </w:p>
    <w:p w:rsidR="001E0C4B" w:rsidRDefault="001E0C4B" w:rsidP="001E0C4B">
      <w:pPr>
        <w:ind w:left="720"/>
        <w:jc w:val="both"/>
      </w:pPr>
      <w:r>
        <w:t xml:space="preserve">Ici, </w:t>
      </w:r>
      <w:r w:rsidRPr="0089450F">
        <w:rPr>
          <w:position w:val="-10"/>
        </w:rPr>
        <w:object w:dxaOrig="780" w:dyaOrig="340">
          <v:shape id="_x0000_i1052" type="#_x0000_t75" style="width:39.05pt;height:16.8pt" o:ole="">
            <v:imagedata r:id="rId66" o:title=""/>
          </v:shape>
          <o:OLEObject Type="Embed" ProgID="Equation.3" ShapeID="_x0000_i1052" DrawAspect="Content" ObjectID="_1337545150" r:id="rId67"/>
        </w:object>
      </w:r>
      <w:r>
        <w:t xml:space="preserve">donc théoriquement </w:t>
      </w:r>
      <w:r w:rsidRPr="0089450F">
        <w:rPr>
          <w:position w:val="-24"/>
        </w:rPr>
        <w:object w:dxaOrig="1240" w:dyaOrig="620">
          <v:shape id="_x0000_i1053" type="#_x0000_t75" style="width:61.9pt;height:30.95pt" o:ole="">
            <v:imagedata r:id="rId68" o:title=""/>
          </v:shape>
          <o:OLEObject Type="Embed" ProgID="Equation.3" ShapeID="_x0000_i1053" DrawAspect="Content" ObjectID="_1337545151" r:id="rId69"/>
        </w:object>
      </w:r>
      <w:r>
        <w:t xml:space="preserve">= </w:t>
      </w:r>
      <w:r w:rsidRPr="00F8493C">
        <w:t>0.2878168</w:t>
      </w:r>
    </w:p>
    <w:p w:rsidR="001E0C4B" w:rsidRDefault="001E0C4B" w:rsidP="001E0C4B">
      <w:pPr>
        <w:ind w:left="720"/>
        <w:jc w:val="both"/>
      </w:pPr>
      <w:r>
        <w:t xml:space="preserve">La probabilité d’erreur réelle </w:t>
      </w:r>
      <w:r w:rsidRPr="0084122B">
        <w:rPr>
          <w:position w:val="-10"/>
        </w:rPr>
        <w:object w:dxaOrig="1280" w:dyaOrig="340">
          <v:shape id="_x0000_i1054" type="#_x0000_t75" style="width:63.95pt;height:16.8pt" o:ole="">
            <v:imagedata r:id="rId70" o:title=""/>
          </v:shape>
          <o:OLEObject Type="Embed" ProgID="Equation.3" ShapeID="_x0000_i1054" DrawAspect="Content" ObjectID="_1337545152" r:id="rId71"/>
        </w:object>
      </w:r>
    </w:p>
    <w:p w:rsidR="001E0C4B" w:rsidRDefault="001E0C4B" w:rsidP="001E0C4B">
      <w:pPr>
        <w:numPr>
          <w:ilvl w:val="0"/>
          <w:numId w:val="44"/>
        </w:numPr>
        <w:spacing w:after="200"/>
        <w:jc w:val="both"/>
      </w:pPr>
      <w:r w:rsidRPr="00777660">
        <w:rPr>
          <w:b/>
        </w:rPr>
        <w:t>Pour la méthode QDA :</w:t>
      </w:r>
      <w:r>
        <w:t xml:space="preserve"> La densité des variables explicatives dans chaque groupe suit une loi multi-normale </w:t>
      </w:r>
      <w:r w:rsidRPr="00B30386">
        <w:rPr>
          <w:position w:val="-12"/>
        </w:rPr>
        <w:object w:dxaOrig="1080" w:dyaOrig="360">
          <v:shape id="_x0000_i1055" type="#_x0000_t75" style="width:53.85pt;height:18.15pt" o:ole="">
            <v:imagedata r:id="rId72" o:title=""/>
          </v:shape>
          <o:OLEObject Type="Embed" ProgID="Equation.3" ShapeID="_x0000_i1055" DrawAspect="Content" ObjectID="_1337545153" r:id="rId73"/>
        </w:object>
      </w:r>
      <w:r>
        <w:t xml:space="preserve"> où </w:t>
      </w:r>
      <w:r w:rsidRPr="00B30386">
        <w:rPr>
          <w:position w:val="-30"/>
        </w:rPr>
        <w:object w:dxaOrig="3019" w:dyaOrig="700">
          <v:shape id="_x0000_i1056" type="#_x0000_t75" style="width:150.75pt;height:35pt" o:ole="">
            <v:imagedata r:id="rId74" o:title=""/>
          </v:shape>
          <o:OLEObject Type="Embed" ProgID="Equation.3" ShapeID="_x0000_i1056" DrawAspect="Content" ObjectID="_1337545154" r:id="rId75"/>
        </w:object>
      </w:r>
      <w:r>
        <w:t>donc</w:t>
      </w:r>
    </w:p>
    <w:p w:rsidR="001E0C4B" w:rsidRDefault="001E0C4B" w:rsidP="001E0C4B">
      <w:pPr>
        <w:ind w:left="720"/>
        <w:jc w:val="both"/>
      </w:pPr>
      <w:r w:rsidRPr="00B30386">
        <w:rPr>
          <w:position w:val="-30"/>
        </w:rPr>
        <w:object w:dxaOrig="3320" w:dyaOrig="720">
          <v:shape id="_x0000_i1057" type="#_x0000_t75" style="width:166.2pt;height:36.35pt" o:ole="">
            <v:imagedata r:id="rId76" o:title=""/>
          </v:shape>
          <o:OLEObject Type="Embed" ProgID="Equation.3" ShapeID="_x0000_i1057" DrawAspect="Content" ObjectID="_1337545155" r:id="rId77"/>
        </w:object>
      </w:r>
      <w:r>
        <w:t xml:space="preserve">et </w:t>
      </w:r>
      <w:r w:rsidRPr="00B30386">
        <w:rPr>
          <w:position w:val="-30"/>
        </w:rPr>
        <w:object w:dxaOrig="3400" w:dyaOrig="720">
          <v:shape id="_x0000_i1058" type="#_x0000_t75" style="width:170.25pt;height:36.35pt" o:ole="">
            <v:imagedata r:id="rId78" o:title=""/>
          </v:shape>
          <o:OLEObject Type="Embed" ProgID="Equation.3" ShapeID="_x0000_i1058" DrawAspect="Content" ObjectID="_1337545156" r:id="rId79"/>
        </w:object>
      </w:r>
    </w:p>
    <w:p w:rsidR="001E0C4B" w:rsidRDefault="001E0C4B" w:rsidP="001E0C4B">
      <w:pPr>
        <w:ind w:left="720"/>
        <w:jc w:val="both"/>
      </w:pPr>
      <w:r>
        <w:t>Dans ce cas, la probabilité théorique est calculée par la borne de Bhattacharyya</w:t>
      </w:r>
    </w:p>
    <w:p w:rsidR="001E0C4B" w:rsidRDefault="001E0C4B" w:rsidP="001E0C4B">
      <w:pPr>
        <w:ind w:left="360" w:firstLine="348"/>
      </w:pPr>
      <w:r w:rsidRPr="0076016B">
        <w:rPr>
          <w:position w:val="-12"/>
        </w:rPr>
        <w:object w:dxaOrig="1520" w:dyaOrig="420">
          <v:shape id="_x0000_i1059" type="#_x0000_t75" style="width:76.05pt;height:20.85pt" o:ole="">
            <v:imagedata r:id="rId47" o:title=""/>
          </v:shape>
          <o:OLEObject Type="Embed" ProgID="Equation.3" ShapeID="_x0000_i1059" DrawAspect="Content" ObjectID="_1337545157" r:id="rId80"/>
        </w:object>
      </w:r>
      <w:r>
        <w:t xml:space="preserve">avec </w:t>
      </w:r>
      <w:r w:rsidRPr="0076016B">
        <w:rPr>
          <w:position w:val="-34"/>
        </w:rPr>
        <w:object w:dxaOrig="5780" w:dyaOrig="1060">
          <v:shape id="_x0000_i1060" type="#_x0000_t75" style="width:288.65pt;height:53.15pt" o:ole="">
            <v:imagedata r:id="rId49" o:title=""/>
          </v:shape>
          <o:OLEObject Type="Embed" ProgID="Equation.3" ShapeID="_x0000_i1060" DrawAspect="Content" ObjectID="_1337545158" r:id="rId81"/>
        </w:object>
      </w:r>
    </w:p>
    <w:p w:rsidR="001E0C4B" w:rsidRDefault="001E0C4B" w:rsidP="001E0C4B">
      <w:pPr>
        <w:ind w:left="720"/>
        <w:jc w:val="both"/>
      </w:pPr>
      <w:r>
        <w:t xml:space="preserve">Théoriquement </w:t>
      </w:r>
      <w:r w:rsidRPr="005C5730">
        <w:rPr>
          <w:position w:val="-6"/>
        </w:rPr>
        <w:object w:dxaOrig="1460" w:dyaOrig="279">
          <v:shape id="_x0000_i1061" type="#_x0000_t75" style="width:72.65pt;height:14.15pt" o:ole="">
            <v:imagedata r:id="rId82" o:title=""/>
          </v:shape>
          <o:OLEObject Type="Embed" ProgID="Equation.3" ShapeID="_x0000_i1061" DrawAspect="Content" ObjectID="_1337545159" r:id="rId83"/>
        </w:object>
      </w:r>
    </w:p>
    <w:p w:rsidR="001E0C4B" w:rsidRDefault="001E0C4B" w:rsidP="001E0C4B">
      <w:pPr>
        <w:ind w:left="720"/>
        <w:jc w:val="both"/>
      </w:pPr>
      <w:r>
        <w:t xml:space="preserve">La probabilité d’erreur réelle </w:t>
      </w:r>
      <w:r w:rsidRPr="005C5730">
        <w:rPr>
          <w:position w:val="-14"/>
        </w:rPr>
        <w:object w:dxaOrig="1300" w:dyaOrig="380">
          <v:shape id="_x0000_i1062" type="#_x0000_t75" style="width:65.25pt;height:18.85pt" o:ole="">
            <v:imagedata r:id="rId84" o:title=""/>
          </v:shape>
          <o:OLEObject Type="Embed" ProgID="Equation.3" ShapeID="_x0000_i1062" DrawAspect="Content" ObjectID="_1337545160" r:id="rId85"/>
        </w:object>
      </w:r>
    </w:p>
    <w:p w:rsidR="001E0C4B" w:rsidRDefault="001E0C4B" w:rsidP="001E0C4B">
      <w:pPr>
        <w:ind w:left="708"/>
        <w:jc w:val="both"/>
      </w:pPr>
      <w:r>
        <w:t>Voilà la représentation des observations avec une v</w:t>
      </w:r>
      <w:r w:rsidRPr="00493B80">
        <w:t>isu</w:t>
      </w:r>
      <w:r>
        <w:t>alisation des frontières de dé</w:t>
      </w:r>
      <w:r w:rsidRPr="00493B80">
        <w:t>cision</w:t>
      </w:r>
      <w:r>
        <w:t>.</w:t>
      </w:r>
    </w:p>
    <w:p w:rsidR="001E0C4B" w:rsidRDefault="001E0C4B" w:rsidP="001E0C4B">
      <w:pPr>
        <w:jc w:val="both"/>
      </w:pPr>
      <w:r>
        <w:rPr>
          <w:noProof/>
          <w:lang w:eastAsia="fr-FR"/>
        </w:rPr>
        <w:drawing>
          <wp:anchor distT="0" distB="0" distL="114300" distR="114300" simplePos="0" relativeHeight="251683840" behindDoc="0" locked="0" layoutInCell="1" allowOverlap="1">
            <wp:simplePos x="0" y="0"/>
            <wp:positionH relativeFrom="column">
              <wp:posOffset>2894330</wp:posOffset>
            </wp:positionH>
            <wp:positionV relativeFrom="paragraph">
              <wp:posOffset>-4445</wp:posOffset>
            </wp:positionV>
            <wp:extent cx="2877820" cy="2879725"/>
            <wp:effectExtent l="19050" t="0" r="0" b="0"/>
            <wp:wrapNone/>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6" cstate="print"/>
                    <a:srcRect/>
                    <a:stretch>
                      <a:fillRect/>
                    </a:stretch>
                  </pic:blipFill>
                  <pic:spPr bwMode="auto">
                    <a:xfrm>
                      <a:off x="0" y="0"/>
                      <a:ext cx="2877820" cy="2879725"/>
                    </a:xfrm>
                    <a:prstGeom prst="rect">
                      <a:avLst/>
                    </a:prstGeom>
                    <a:noFill/>
                    <a:ln w="9525">
                      <a:noFill/>
                      <a:miter lim="800000"/>
                      <a:headEnd/>
                      <a:tailEnd/>
                    </a:ln>
                  </pic:spPr>
                </pic:pic>
              </a:graphicData>
            </a:graphic>
          </wp:anchor>
        </w:drawing>
      </w:r>
      <w:r>
        <w:rPr>
          <w:noProof/>
          <w:lang w:eastAsia="fr-FR"/>
        </w:rPr>
        <w:drawing>
          <wp:inline distT="0" distB="0" distL="0" distR="0">
            <wp:extent cx="2879725" cy="2879725"/>
            <wp:effectExtent l="19050" t="0" r="0"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7" cstate="print"/>
                    <a:srcRect/>
                    <a:stretch>
                      <a:fillRect/>
                    </a:stretch>
                  </pic:blipFill>
                  <pic:spPr bwMode="auto">
                    <a:xfrm>
                      <a:off x="0" y="0"/>
                      <a:ext cx="2879725" cy="2879725"/>
                    </a:xfrm>
                    <a:prstGeom prst="rect">
                      <a:avLst/>
                    </a:prstGeom>
                    <a:noFill/>
                    <a:ln w="9525">
                      <a:noFill/>
                      <a:miter lim="800000"/>
                      <a:headEnd/>
                      <a:tailEnd/>
                    </a:ln>
                  </pic:spPr>
                </pic:pic>
              </a:graphicData>
            </a:graphic>
          </wp:inline>
        </w:drawing>
      </w:r>
    </w:p>
    <w:p w:rsidR="001E0C4B" w:rsidRDefault="001E0C4B" w:rsidP="001E0C4B">
      <w:pPr>
        <w:ind w:firstLine="708"/>
        <w:jc w:val="both"/>
      </w:pPr>
      <w:r w:rsidRPr="00777660">
        <w:rPr>
          <w:b/>
        </w:rPr>
        <w:t>Remarque :</w:t>
      </w:r>
      <w:r>
        <w:t xml:space="preserve"> Nous avons constaté que dans le cas de la méthode de QDA, </w:t>
      </w:r>
      <w:r w:rsidRPr="005C5730">
        <w:rPr>
          <w:position w:val="-14"/>
        </w:rPr>
        <w:object w:dxaOrig="1140" w:dyaOrig="380">
          <v:shape id="_x0000_i1063" type="#_x0000_t75" style="width:57.2pt;height:18.85pt" o:ole="">
            <v:imagedata r:id="rId88" o:title=""/>
          </v:shape>
          <o:OLEObject Type="Embed" ProgID="Equation.3" ShapeID="_x0000_i1063" DrawAspect="Content" ObjectID="_1337545161" r:id="rId89"/>
        </w:object>
      </w:r>
      <w:r>
        <w:t xml:space="preserve">.De plus, l’écart de la probabilité d’erreur théorique et réelle n’est plus important que celui du cas LDA. Donc, la méthode QDA est plus intéressante. </w:t>
      </w:r>
    </w:p>
    <w:p w:rsidR="001E0C4B" w:rsidRDefault="001E0C4B" w:rsidP="001E0C4B">
      <w:pPr>
        <w:pStyle w:val="Titre2"/>
        <w:numPr>
          <w:ilvl w:val="0"/>
          <w:numId w:val="45"/>
        </w:numPr>
      </w:pPr>
      <w:r w:rsidRPr="00653795">
        <w:t>Appliquer la méthode de l’échantillon de test avec 2/3 des observations pour l’ensemble d’apprentissage. Répéter la méthode de l’échantillon de test en choisissant différentes échantillons d’apprentissage et de test.</w:t>
      </w:r>
    </w:p>
    <w:p w:rsidR="001E0C4B" w:rsidRPr="001E0C4B" w:rsidRDefault="001E0C4B" w:rsidP="001E0C4B"/>
    <w:p w:rsidR="001E0C4B" w:rsidRDefault="001E0C4B" w:rsidP="001E0C4B">
      <w:pPr>
        <w:ind w:firstLine="708"/>
        <w:jc w:val="both"/>
      </w:pPr>
      <w:r>
        <w:t>En réalité, en modifiant les probabilités de tirage aléatoire avec l’aide de fonction sample, nous ne pouvons connaitre exactement la classe de chacun des éléments de test. Nous avons modifié la taille de l’ensemble d’apprentissage</w:t>
      </w:r>
      <w:r w:rsidRPr="00ED3AD2">
        <w:t xml:space="preserve"> </w:t>
      </w:r>
      <w:r>
        <w:t>qui nous permet de construire une frontière de décisions à l’aide de l’analyse quadratique ou linéaire, et on classe ensuite les éléments de l’échantillon de test en fonction de cette frontière.</w:t>
      </w:r>
    </w:p>
    <w:p w:rsidR="001E0C4B" w:rsidRDefault="001E0C4B" w:rsidP="001E0C4B">
      <w:pPr>
        <w:ind w:firstLine="708"/>
        <w:jc w:val="both"/>
      </w:pPr>
      <w:r>
        <w:t xml:space="preserve">Nous avons répété quelques fois l’expérience avec des différentes proportions de l’échantillon d’apprentissage (Appr) et de test (Test). En utilisant les 2 méthodes (LDA, QDA), nous avons retrouvé les probabilités d’erreur correspondantes. </w:t>
      </w:r>
    </w:p>
    <w:tbl>
      <w:tblPr>
        <w:tblW w:w="0" w:type="auto"/>
        <w:tblBorders>
          <w:top w:val="single" w:sz="8" w:space="0" w:color="8064A2"/>
          <w:left w:val="single" w:sz="8" w:space="0" w:color="8064A2"/>
          <w:bottom w:val="single" w:sz="8" w:space="0" w:color="8064A2"/>
          <w:right w:val="single" w:sz="8" w:space="0" w:color="8064A2"/>
        </w:tblBorders>
        <w:tblLayout w:type="fixed"/>
        <w:tblLook w:val="04A0"/>
      </w:tblPr>
      <w:tblGrid>
        <w:gridCol w:w="675"/>
        <w:gridCol w:w="1985"/>
        <w:gridCol w:w="1984"/>
        <w:gridCol w:w="1985"/>
        <w:gridCol w:w="2583"/>
      </w:tblGrid>
      <w:tr w:rsidR="001E0C4B" w:rsidTr="008348A2">
        <w:tc>
          <w:tcPr>
            <w:tcW w:w="675" w:type="dxa"/>
            <w:shd w:val="clear" w:color="auto" w:fill="8064A2"/>
          </w:tcPr>
          <w:p w:rsidR="001E0C4B" w:rsidRPr="00D67624" w:rsidRDefault="001E0C4B" w:rsidP="008348A2">
            <w:pPr>
              <w:jc w:val="center"/>
              <w:rPr>
                <w:b/>
                <w:bCs/>
                <w:color w:val="FFFFFF"/>
              </w:rPr>
            </w:pPr>
          </w:p>
        </w:tc>
        <w:tc>
          <w:tcPr>
            <w:tcW w:w="1985" w:type="dxa"/>
            <w:shd w:val="clear" w:color="auto" w:fill="8064A2"/>
          </w:tcPr>
          <w:p w:rsidR="001E0C4B" w:rsidRPr="00D67624" w:rsidRDefault="001E0C4B" w:rsidP="008348A2">
            <w:pPr>
              <w:jc w:val="center"/>
              <w:rPr>
                <w:b/>
                <w:bCs/>
                <w:color w:val="FFFFFF"/>
              </w:rPr>
            </w:pPr>
            <w:r w:rsidRPr="00D67624">
              <w:rPr>
                <w:b/>
                <w:bCs/>
                <w:color w:val="FFFFFF"/>
              </w:rPr>
              <w:t>2/3 Appr , 1/3 Test</w:t>
            </w:r>
          </w:p>
        </w:tc>
        <w:tc>
          <w:tcPr>
            <w:tcW w:w="1984" w:type="dxa"/>
            <w:shd w:val="clear" w:color="auto" w:fill="8064A2"/>
          </w:tcPr>
          <w:p w:rsidR="001E0C4B" w:rsidRPr="00D67624" w:rsidRDefault="001E0C4B" w:rsidP="008348A2">
            <w:pPr>
              <w:jc w:val="center"/>
              <w:rPr>
                <w:b/>
                <w:bCs/>
                <w:color w:val="FFFFFF"/>
              </w:rPr>
            </w:pPr>
            <w:r w:rsidRPr="00D67624">
              <w:rPr>
                <w:b/>
                <w:bCs/>
                <w:color w:val="FFFFFF"/>
              </w:rPr>
              <w:t>1/2 Appr, 1/2 Test</w:t>
            </w:r>
          </w:p>
        </w:tc>
        <w:tc>
          <w:tcPr>
            <w:tcW w:w="1985" w:type="dxa"/>
            <w:shd w:val="clear" w:color="auto" w:fill="8064A2"/>
          </w:tcPr>
          <w:p w:rsidR="001E0C4B" w:rsidRPr="00D67624" w:rsidRDefault="001E0C4B" w:rsidP="008348A2">
            <w:pPr>
              <w:jc w:val="center"/>
              <w:rPr>
                <w:b/>
                <w:bCs/>
                <w:color w:val="FFFFFF"/>
              </w:rPr>
            </w:pPr>
            <w:r w:rsidRPr="00D67624">
              <w:rPr>
                <w:b/>
                <w:bCs/>
                <w:color w:val="FFFFFF"/>
              </w:rPr>
              <w:t>1/3 Appr, 2/3 Test</w:t>
            </w:r>
          </w:p>
        </w:tc>
        <w:tc>
          <w:tcPr>
            <w:tcW w:w="2583" w:type="dxa"/>
            <w:shd w:val="clear" w:color="auto" w:fill="8064A2"/>
          </w:tcPr>
          <w:p w:rsidR="001E0C4B" w:rsidRPr="00D67624" w:rsidRDefault="001E0C4B" w:rsidP="008348A2">
            <w:pPr>
              <w:jc w:val="center"/>
              <w:rPr>
                <w:b/>
                <w:bCs/>
                <w:color w:val="FFFFFF"/>
              </w:rPr>
            </w:pPr>
            <w:r w:rsidRPr="00D67624">
              <w:rPr>
                <w:b/>
                <w:bCs/>
                <w:color w:val="FFFFFF"/>
              </w:rPr>
              <w:t>1/10 Appr, 9/10 Test</w:t>
            </w:r>
          </w:p>
        </w:tc>
      </w:tr>
      <w:tr w:rsidR="001E0C4B" w:rsidTr="008348A2">
        <w:tc>
          <w:tcPr>
            <w:tcW w:w="675" w:type="dxa"/>
            <w:tcBorders>
              <w:top w:val="single" w:sz="8" w:space="0" w:color="8064A2"/>
              <w:left w:val="single" w:sz="8" w:space="0" w:color="8064A2"/>
              <w:bottom w:val="single" w:sz="8" w:space="0" w:color="8064A2"/>
            </w:tcBorders>
          </w:tcPr>
          <w:p w:rsidR="001E0C4B" w:rsidRPr="00D67624" w:rsidRDefault="001E0C4B" w:rsidP="008348A2">
            <w:pPr>
              <w:jc w:val="center"/>
              <w:rPr>
                <w:b/>
                <w:bCs/>
              </w:rPr>
            </w:pPr>
            <m:oMathPara>
              <m:oMath>
                <m:sSub>
                  <m:sSubPr>
                    <m:ctrlPr>
                      <w:rPr>
                        <w:rFonts w:ascii="Cambria Math" w:hAnsi="Cambria Math"/>
                        <w:b/>
                        <w:bCs/>
                        <w:i/>
                      </w:rPr>
                    </m:ctrlPr>
                  </m:sSubPr>
                  <m:e>
                    <m:acc>
                      <m:accPr>
                        <m:ctrlPr>
                          <w:rPr>
                            <w:rFonts w:ascii="Cambria Math" w:hAnsi="Cambria Math"/>
                            <w:i/>
                          </w:rPr>
                        </m:ctrlPr>
                      </m:accPr>
                      <m:e>
                        <m:r>
                          <w:rPr>
                            <w:rFonts w:ascii="Cambria Math" w:hAnsi="Cambria Math"/>
                          </w:rPr>
                          <m:t>ε</m:t>
                        </m:r>
                      </m:e>
                    </m:acc>
                    <m:ctrlPr>
                      <w:rPr>
                        <w:rFonts w:ascii="Cambria Math" w:hAnsi="Cambria Math"/>
                        <w:i/>
                      </w:rPr>
                    </m:ctrlPr>
                  </m:e>
                  <m:sub>
                    <m:r>
                      <w:rPr>
                        <w:rFonts w:ascii="Cambria Math" w:hAnsi="Cambria Math"/>
                      </w:rPr>
                      <m:t>LDA</m:t>
                    </m:r>
                    <m:ctrlPr>
                      <w:rPr>
                        <w:rFonts w:ascii="Cambria Math" w:hAnsi="Cambria Math"/>
                        <w:i/>
                      </w:rPr>
                    </m:ctrlPr>
                  </m:sub>
                </m:sSub>
              </m:oMath>
            </m:oMathPara>
          </w:p>
        </w:tc>
        <w:tc>
          <w:tcPr>
            <w:tcW w:w="1985" w:type="dxa"/>
            <w:tcBorders>
              <w:top w:val="single" w:sz="8" w:space="0" w:color="8064A2"/>
              <w:bottom w:val="single" w:sz="8" w:space="0" w:color="8064A2"/>
            </w:tcBorders>
          </w:tcPr>
          <w:p w:rsidR="001E0C4B" w:rsidRDefault="001E0C4B" w:rsidP="008348A2">
            <w:pPr>
              <w:jc w:val="center"/>
            </w:pPr>
            <w:r w:rsidRPr="00897567">
              <w:t>0.3050847</w:t>
            </w:r>
          </w:p>
        </w:tc>
        <w:tc>
          <w:tcPr>
            <w:tcW w:w="1984" w:type="dxa"/>
            <w:tcBorders>
              <w:top w:val="single" w:sz="8" w:space="0" w:color="8064A2"/>
              <w:bottom w:val="single" w:sz="8" w:space="0" w:color="8064A2"/>
            </w:tcBorders>
          </w:tcPr>
          <w:p w:rsidR="001E0C4B" w:rsidRDefault="001E0C4B" w:rsidP="008348A2">
            <w:pPr>
              <w:jc w:val="center"/>
            </w:pPr>
            <w:r w:rsidRPr="00897567">
              <w:t>0.3009709</w:t>
            </w:r>
          </w:p>
        </w:tc>
        <w:tc>
          <w:tcPr>
            <w:tcW w:w="1985" w:type="dxa"/>
            <w:tcBorders>
              <w:top w:val="single" w:sz="8" w:space="0" w:color="8064A2"/>
              <w:bottom w:val="single" w:sz="8" w:space="0" w:color="8064A2"/>
            </w:tcBorders>
          </w:tcPr>
          <w:p w:rsidR="001E0C4B" w:rsidRDefault="001E0C4B" w:rsidP="008348A2">
            <w:pPr>
              <w:jc w:val="center"/>
            </w:pPr>
            <w:r w:rsidRPr="00897567">
              <w:t>0.3115942</w:t>
            </w:r>
          </w:p>
        </w:tc>
        <w:tc>
          <w:tcPr>
            <w:tcW w:w="2583" w:type="dxa"/>
            <w:tcBorders>
              <w:top w:val="single" w:sz="8" w:space="0" w:color="8064A2"/>
              <w:bottom w:val="single" w:sz="8" w:space="0" w:color="8064A2"/>
              <w:right w:val="single" w:sz="8" w:space="0" w:color="8064A2"/>
            </w:tcBorders>
          </w:tcPr>
          <w:p w:rsidR="001E0C4B" w:rsidRDefault="001E0C4B" w:rsidP="008348A2">
            <w:pPr>
              <w:jc w:val="center"/>
            </w:pPr>
            <w:r w:rsidRPr="00897567">
              <w:t>0.3891892</w:t>
            </w:r>
          </w:p>
        </w:tc>
      </w:tr>
      <w:tr w:rsidR="001E0C4B" w:rsidTr="008348A2">
        <w:tc>
          <w:tcPr>
            <w:tcW w:w="675" w:type="dxa"/>
          </w:tcPr>
          <w:p w:rsidR="001E0C4B" w:rsidRPr="00D67624" w:rsidRDefault="001E0C4B" w:rsidP="008348A2">
            <w:pPr>
              <w:jc w:val="center"/>
              <w:rPr>
                <w:b/>
                <w:bCs/>
              </w:rPr>
            </w:pPr>
            <m:oMathPara>
              <m:oMath>
                <m:sSub>
                  <m:sSubPr>
                    <m:ctrlPr>
                      <w:rPr>
                        <w:rFonts w:ascii="Cambria Math" w:hAnsi="Cambria Math"/>
                        <w:b/>
                        <w:bCs/>
                        <w:i/>
                      </w:rPr>
                    </m:ctrlPr>
                  </m:sSubPr>
                  <m:e>
                    <m:acc>
                      <m:accPr>
                        <m:ctrlPr>
                          <w:rPr>
                            <w:rFonts w:ascii="Cambria Math" w:hAnsi="Cambria Math"/>
                            <w:i/>
                          </w:rPr>
                        </m:ctrlPr>
                      </m:accPr>
                      <m:e>
                        <m:r>
                          <w:rPr>
                            <w:rFonts w:ascii="Cambria Math" w:hAnsi="Cambria Math"/>
                          </w:rPr>
                          <m:t>ε</m:t>
                        </m:r>
                      </m:e>
                    </m:acc>
                    <m:ctrlPr>
                      <w:rPr>
                        <w:rFonts w:ascii="Cambria Math" w:hAnsi="Cambria Math"/>
                        <w:i/>
                      </w:rPr>
                    </m:ctrlPr>
                  </m:e>
                  <m:sub>
                    <m:r>
                      <w:rPr>
                        <w:rFonts w:ascii="Cambria Math" w:hAnsi="Cambria Math"/>
                      </w:rPr>
                      <m:t>QDA</m:t>
                    </m:r>
                    <m:ctrlPr>
                      <w:rPr>
                        <w:rFonts w:ascii="Cambria Math" w:hAnsi="Cambria Math"/>
                        <w:i/>
                      </w:rPr>
                    </m:ctrlPr>
                  </m:sub>
                </m:sSub>
              </m:oMath>
            </m:oMathPara>
          </w:p>
        </w:tc>
        <w:tc>
          <w:tcPr>
            <w:tcW w:w="1985" w:type="dxa"/>
          </w:tcPr>
          <w:p w:rsidR="001E0C4B" w:rsidRDefault="001E0C4B" w:rsidP="008348A2">
            <w:pPr>
              <w:jc w:val="center"/>
            </w:pPr>
            <w:r w:rsidRPr="00897567">
              <w:t>0.2881356</w:t>
            </w:r>
          </w:p>
        </w:tc>
        <w:tc>
          <w:tcPr>
            <w:tcW w:w="1984" w:type="dxa"/>
          </w:tcPr>
          <w:p w:rsidR="001E0C4B" w:rsidRDefault="001E0C4B" w:rsidP="008348A2">
            <w:pPr>
              <w:jc w:val="center"/>
            </w:pPr>
            <w:r w:rsidRPr="00897567">
              <w:t>0.2718447</w:t>
            </w:r>
          </w:p>
        </w:tc>
        <w:tc>
          <w:tcPr>
            <w:tcW w:w="1985" w:type="dxa"/>
          </w:tcPr>
          <w:p w:rsidR="001E0C4B" w:rsidRDefault="001E0C4B" w:rsidP="008348A2">
            <w:pPr>
              <w:jc w:val="center"/>
            </w:pPr>
            <w:r w:rsidRPr="00897567">
              <w:t>0.2971014</w:t>
            </w:r>
          </w:p>
        </w:tc>
        <w:tc>
          <w:tcPr>
            <w:tcW w:w="2583" w:type="dxa"/>
          </w:tcPr>
          <w:p w:rsidR="001E0C4B" w:rsidRDefault="001E0C4B" w:rsidP="008348A2">
            <w:pPr>
              <w:jc w:val="center"/>
            </w:pPr>
            <w:r w:rsidRPr="00897567">
              <w:t>0.372973</w:t>
            </w:r>
          </w:p>
        </w:tc>
      </w:tr>
    </w:tbl>
    <w:p w:rsidR="00444E16" w:rsidRPr="008A037B" w:rsidRDefault="001E0C4B" w:rsidP="001E0C4B">
      <w:pPr>
        <w:ind w:firstLine="708"/>
        <w:jc w:val="both"/>
      </w:pPr>
      <w:r>
        <w:t>Nous avons constaté que dans tous les cas, la probabilité d’erreur de la méthode QDA est toujours moins importante que celle de la LDA. On peut en tirer le fait que : QDA est le meilleur modèle entre LDA et QDA</w:t>
      </w:r>
    </w:p>
    <w:sectPr w:rsidR="00444E16" w:rsidRPr="008A037B" w:rsidSect="00845193">
      <w:headerReference w:type="default" r:id="rId90"/>
      <w:footerReference w:type="default" r:id="rId9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6C4" w:rsidRDefault="004236C4" w:rsidP="00C00CC9">
      <w:pPr>
        <w:spacing w:line="240" w:lineRule="auto"/>
      </w:pPr>
      <w:r>
        <w:separator/>
      </w:r>
    </w:p>
  </w:endnote>
  <w:endnote w:type="continuationSeparator" w:id="0">
    <w:p w:rsidR="004236C4" w:rsidRDefault="004236C4" w:rsidP="00C00C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20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FBX1440">
    <w:panose1 w:val="00000000000000000000"/>
    <w:charset w:val="00"/>
    <w:family w:val="swiss"/>
    <w:notTrueType/>
    <w:pitch w:val="default"/>
    <w:sig w:usb0="00000003" w:usb1="00000000" w:usb2="00000000" w:usb3="00000000" w:csb0="00000001" w:csb1="00000000"/>
  </w:font>
  <w:font w:name="LNIKDJ+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95"/>
      <w:gridCol w:w="7907"/>
    </w:tblGrid>
    <w:tr w:rsidR="0006689B" w:rsidRPr="008320EF">
      <w:tc>
        <w:tcPr>
          <w:tcW w:w="750" w:type="pct"/>
        </w:tcPr>
        <w:p w:rsidR="0006689B" w:rsidRDefault="00976E47">
          <w:pPr>
            <w:pStyle w:val="Pieddepage"/>
            <w:jc w:val="right"/>
            <w:rPr>
              <w:color w:val="4F81BD" w:themeColor="accent1"/>
            </w:rPr>
          </w:pPr>
          <w:fldSimple w:instr=" PAGE   \* MERGEFORMAT ">
            <w:r w:rsidR="001E0C4B" w:rsidRPr="001E0C4B">
              <w:rPr>
                <w:noProof/>
                <w:color w:val="4F81BD" w:themeColor="accent1"/>
              </w:rPr>
              <w:t>5</w:t>
            </w:r>
          </w:fldSimple>
        </w:p>
      </w:tc>
      <w:tc>
        <w:tcPr>
          <w:tcW w:w="4250" w:type="pct"/>
        </w:tcPr>
        <w:p w:rsidR="0006689B" w:rsidRPr="00606D53" w:rsidRDefault="0006689B">
          <w:pPr>
            <w:pStyle w:val="Pieddepage"/>
            <w:rPr>
              <w:color w:val="4F81BD" w:themeColor="accent1"/>
              <w:lang w:val="en-US"/>
            </w:rPr>
          </w:pPr>
          <w:r w:rsidRPr="00606D53">
            <w:rPr>
              <w:color w:val="4F81BD" w:themeColor="accent1"/>
              <w:lang w:val="en-US"/>
            </w:rPr>
            <w:t xml:space="preserve">Jabalah Hicham – </w:t>
          </w:r>
          <w:hyperlink r:id="rId1" w:history="1">
            <w:r w:rsidR="00606D53" w:rsidRPr="00606D53">
              <w:rPr>
                <w:color w:val="4F81BD" w:themeColor="accent1"/>
                <w:lang w:val="en-US"/>
              </w:rPr>
              <w:t>Salim Moulay-Rchid</w:t>
            </w:r>
          </w:hyperlink>
        </w:p>
      </w:tc>
    </w:tr>
  </w:tbl>
  <w:p w:rsidR="0006689B" w:rsidRPr="00606D53" w:rsidRDefault="0006689B">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6C4" w:rsidRDefault="004236C4" w:rsidP="00C00CC9">
      <w:pPr>
        <w:spacing w:line="240" w:lineRule="auto"/>
      </w:pPr>
      <w:r>
        <w:separator/>
      </w:r>
    </w:p>
  </w:footnote>
  <w:footnote w:type="continuationSeparator" w:id="0">
    <w:p w:rsidR="004236C4" w:rsidRDefault="004236C4" w:rsidP="00C00CC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re"/>
      <w:id w:val="77887899"/>
      <w:placeholder>
        <w:docPart w:val="DA54DB56E0E746E2B4C7DC65CA69466B"/>
      </w:placeholder>
      <w:dataBinding w:prefixMappings="xmlns:ns0='http://schemas.openxmlformats.org/package/2006/metadata/core-properties' xmlns:ns1='http://purl.org/dc/elements/1.1/'" w:xpath="/ns0:coreProperties[1]/ns1:title[1]" w:storeItemID="{6C3C8BC8-F283-45AE-878A-BAB7291924A1}"/>
      <w:text/>
    </w:sdtPr>
    <w:sdtContent>
      <w:p w:rsidR="00C00CC9" w:rsidRDefault="00E148FE">
        <w:pPr>
          <w:pStyle w:val="En-tte"/>
          <w:tabs>
            <w:tab w:val="left" w:pos="2580"/>
            <w:tab w:val="left" w:pos="2985"/>
          </w:tabs>
          <w:spacing w:after="120" w:line="276" w:lineRule="auto"/>
          <w:jc w:val="right"/>
          <w:rPr>
            <w:b/>
            <w:bCs/>
            <w:color w:val="1F497D" w:themeColor="text2"/>
            <w:sz w:val="28"/>
            <w:szCs w:val="28"/>
          </w:rPr>
        </w:pPr>
        <w:r>
          <w:rPr>
            <w:b/>
            <w:bCs/>
            <w:color w:val="1F497D" w:themeColor="text2"/>
            <w:sz w:val="28"/>
            <w:szCs w:val="28"/>
          </w:rPr>
          <w:t>TP4 – Analyses discriminantes quadratique et linéaire</w:t>
        </w:r>
        <w:r w:rsidR="008320EF">
          <w:rPr>
            <w:b/>
            <w:bCs/>
            <w:color w:val="1F497D" w:themeColor="text2"/>
            <w:sz w:val="28"/>
            <w:szCs w:val="28"/>
          </w:rPr>
          <w:t xml:space="preserve"> </w:t>
        </w:r>
      </w:p>
    </w:sdtContent>
  </w:sdt>
  <w:sdt>
    <w:sdtPr>
      <w:alias w:val="Sous-titre"/>
      <w:id w:val="77887903"/>
      <w:placeholder>
        <w:docPart w:val="33AC25B4A82B44428B801EA2EE0940F7"/>
      </w:placeholder>
      <w:dataBinding w:prefixMappings="xmlns:ns0='http://schemas.openxmlformats.org/package/2006/metadata/core-properties' xmlns:ns1='http://purl.org/dc/elements/1.1/'" w:xpath="/ns0:coreProperties[1]/ns1:subject[1]" w:storeItemID="{6C3C8BC8-F283-45AE-878A-BAB7291924A1}"/>
      <w:text/>
    </w:sdtPr>
    <w:sdtContent>
      <w:p w:rsidR="00C00CC9" w:rsidRPr="007D0413" w:rsidRDefault="007D0413" w:rsidP="007D0413">
        <w:pPr>
          <w:pStyle w:val="En-tte"/>
          <w:tabs>
            <w:tab w:val="left" w:pos="2580"/>
            <w:tab w:val="left" w:pos="2985"/>
          </w:tabs>
          <w:spacing w:after="120" w:line="276" w:lineRule="auto"/>
          <w:jc w:val="right"/>
          <w:rPr>
            <w:color w:val="4F81BD" w:themeColor="accent1"/>
          </w:rPr>
        </w:pPr>
        <w:r>
          <w:rPr>
            <w:color w:val="4F81BD" w:themeColor="accent1"/>
          </w:rPr>
          <w:t>SY09 Printemps 2010</w:t>
        </w:r>
      </w:p>
    </w:sdtContent>
  </w:sdt>
  <w:p w:rsidR="00C00CC9" w:rsidRDefault="00C00CC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A0C"/>
    <w:multiLevelType w:val="hybridMultilevel"/>
    <w:tmpl w:val="E7809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5702C9"/>
    <w:multiLevelType w:val="multilevel"/>
    <w:tmpl w:val="785CCAC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EB3E12"/>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
    <w:nsid w:val="080C5C79"/>
    <w:multiLevelType w:val="multilevel"/>
    <w:tmpl w:val="84D0A40C"/>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9CE4ED2"/>
    <w:multiLevelType w:val="hybridMultilevel"/>
    <w:tmpl w:val="909C50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A6E5029"/>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CF70931"/>
    <w:multiLevelType w:val="multilevel"/>
    <w:tmpl w:val="306E4C1A"/>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7">
    <w:nsid w:val="0F542AE6"/>
    <w:multiLevelType w:val="hybridMultilevel"/>
    <w:tmpl w:val="5DC0F324"/>
    <w:lvl w:ilvl="0" w:tplc="4BA0932A">
      <w:start w:val="1"/>
      <w:numFmt w:val="lowerLetter"/>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900FB8"/>
    <w:multiLevelType w:val="multilevel"/>
    <w:tmpl w:val="2B7805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61C5848"/>
    <w:multiLevelType w:val="hybridMultilevel"/>
    <w:tmpl w:val="0596C820"/>
    <w:lvl w:ilvl="0" w:tplc="B8ECDB8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6C54694"/>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8C62747"/>
    <w:multiLevelType w:val="hybridMultilevel"/>
    <w:tmpl w:val="2E2CBA86"/>
    <w:lvl w:ilvl="0" w:tplc="B8ECDB8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E6D030D"/>
    <w:multiLevelType w:val="hybridMultilevel"/>
    <w:tmpl w:val="66BCCA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EFB42ED"/>
    <w:multiLevelType w:val="hybridMultilevel"/>
    <w:tmpl w:val="8A36E45E"/>
    <w:lvl w:ilvl="0" w:tplc="C4B612B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43A7C77"/>
    <w:multiLevelType w:val="hybridMultilevel"/>
    <w:tmpl w:val="92B6C588"/>
    <w:lvl w:ilvl="0" w:tplc="4072EA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E6F1D40"/>
    <w:multiLevelType w:val="hybridMultilevel"/>
    <w:tmpl w:val="276CD374"/>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34141461"/>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73D65D7"/>
    <w:multiLevelType w:val="hybridMultilevel"/>
    <w:tmpl w:val="959C22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791649A"/>
    <w:multiLevelType w:val="hybridMultilevel"/>
    <w:tmpl w:val="58287B4A"/>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19">
    <w:nsid w:val="40D27D47"/>
    <w:multiLevelType w:val="hybridMultilevel"/>
    <w:tmpl w:val="25580020"/>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55A4211"/>
    <w:multiLevelType w:val="multilevel"/>
    <w:tmpl w:val="2B7805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977D83"/>
    <w:multiLevelType w:val="multilevel"/>
    <w:tmpl w:val="84D0A40C"/>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5FF7A2F"/>
    <w:multiLevelType w:val="hybridMultilevel"/>
    <w:tmpl w:val="69AEBC8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46B4185A"/>
    <w:multiLevelType w:val="hybridMultilevel"/>
    <w:tmpl w:val="D0DC31CC"/>
    <w:lvl w:ilvl="0" w:tplc="17C43EB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6F03711"/>
    <w:multiLevelType w:val="hybridMultilevel"/>
    <w:tmpl w:val="C1009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882682F"/>
    <w:multiLevelType w:val="hybridMultilevel"/>
    <w:tmpl w:val="599401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C01FCF"/>
    <w:multiLevelType w:val="hybridMultilevel"/>
    <w:tmpl w:val="63AC59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4EF28EC"/>
    <w:multiLevelType w:val="hybridMultilevel"/>
    <w:tmpl w:val="D1E27E6E"/>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nsid w:val="5B440922"/>
    <w:multiLevelType w:val="hybridMultilevel"/>
    <w:tmpl w:val="E8E2AA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EC45E5F"/>
    <w:multiLevelType w:val="hybridMultilevel"/>
    <w:tmpl w:val="EBBE5FB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62B217F4"/>
    <w:multiLevelType w:val="hybridMultilevel"/>
    <w:tmpl w:val="544073C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nsid w:val="63A75276"/>
    <w:multiLevelType w:val="hybridMultilevel"/>
    <w:tmpl w:val="74A42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6E02FB"/>
    <w:multiLevelType w:val="multilevel"/>
    <w:tmpl w:val="D4F09F12"/>
    <w:lvl w:ilvl="0">
      <w:start w:val="1"/>
      <w:numFmt w:val="decimal"/>
      <w:lvlText w:val="%1)"/>
      <w:lvlJc w:val="left"/>
      <w:pPr>
        <w:ind w:left="390" w:hanging="390"/>
      </w:pPr>
      <w:rPr>
        <w:rFonts w:hint="default"/>
      </w:rPr>
    </w:lvl>
    <w:lvl w:ilvl="1">
      <w:start w:val="1"/>
      <w:numFmt w:val="lowerLetter"/>
      <w:lvlText w:val="%2)"/>
      <w:lvlJc w:val="left"/>
      <w:pPr>
        <w:ind w:left="390" w:hanging="390"/>
      </w:pPr>
      <w:rPr>
        <w:rFonts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3">
    <w:nsid w:val="67240A78"/>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4">
    <w:nsid w:val="693B5C01"/>
    <w:multiLevelType w:val="hybridMultilevel"/>
    <w:tmpl w:val="0B9A8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97C15BD"/>
    <w:multiLevelType w:val="hybridMultilevel"/>
    <w:tmpl w:val="675E081A"/>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nsid w:val="6B001D61"/>
    <w:multiLevelType w:val="hybridMultilevel"/>
    <w:tmpl w:val="ABCC5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0BC1F68"/>
    <w:multiLevelType w:val="hybridMultilevel"/>
    <w:tmpl w:val="7DEE7842"/>
    <w:lvl w:ilvl="0" w:tplc="4E744662">
      <w:start w:val="2"/>
      <w:numFmt w:val="bullet"/>
      <w:lvlText w:val="-"/>
      <w:lvlJc w:val="left"/>
      <w:pPr>
        <w:ind w:left="1065" w:hanging="360"/>
      </w:pPr>
      <w:rPr>
        <w:rFonts w:ascii="Times New Roman" w:eastAsiaTheme="minorEastAsia"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8">
    <w:nsid w:val="7278254E"/>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9">
    <w:nsid w:val="74621990"/>
    <w:multiLevelType w:val="hybridMultilevel"/>
    <w:tmpl w:val="CB400D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nsid w:val="79C017B0"/>
    <w:multiLevelType w:val="hybridMultilevel"/>
    <w:tmpl w:val="3D3EE9D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1">
    <w:nsid w:val="7AF43F96"/>
    <w:multiLevelType w:val="multilevel"/>
    <w:tmpl w:val="E64EC6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7BCB7303"/>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100397"/>
    <w:multiLevelType w:val="hybridMultilevel"/>
    <w:tmpl w:val="957C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E4B471A"/>
    <w:multiLevelType w:val="hybridMultilevel"/>
    <w:tmpl w:val="14DA6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6"/>
  </w:num>
  <w:num w:numId="3">
    <w:abstractNumId w:val="37"/>
  </w:num>
  <w:num w:numId="4">
    <w:abstractNumId w:val="33"/>
  </w:num>
  <w:num w:numId="5">
    <w:abstractNumId w:val="6"/>
  </w:num>
  <w:num w:numId="6">
    <w:abstractNumId w:val="38"/>
  </w:num>
  <w:num w:numId="7">
    <w:abstractNumId w:val="0"/>
  </w:num>
  <w:num w:numId="8">
    <w:abstractNumId w:val="8"/>
  </w:num>
  <w:num w:numId="9">
    <w:abstractNumId w:val="14"/>
  </w:num>
  <w:num w:numId="10">
    <w:abstractNumId w:val="41"/>
  </w:num>
  <w:num w:numId="11">
    <w:abstractNumId w:val="25"/>
  </w:num>
  <w:num w:numId="12">
    <w:abstractNumId w:val="20"/>
  </w:num>
  <w:num w:numId="13">
    <w:abstractNumId w:val="3"/>
  </w:num>
  <w:num w:numId="14">
    <w:abstractNumId w:val="30"/>
  </w:num>
  <w:num w:numId="15">
    <w:abstractNumId w:val="11"/>
  </w:num>
  <w:num w:numId="16">
    <w:abstractNumId w:val="9"/>
  </w:num>
  <w:num w:numId="17">
    <w:abstractNumId w:val="1"/>
  </w:num>
  <w:num w:numId="18">
    <w:abstractNumId w:val="21"/>
  </w:num>
  <w:num w:numId="19">
    <w:abstractNumId w:val="10"/>
  </w:num>
  <w:num w:numId="20">
    <w:abstractNumId w:val="5"/>
  </w:num>
  <w:num w:numId="21">
    <w:abstractNumId w:val="44"/>
  </w:num>
  <w:num w:numId="22">
    <w:abstractNumId w:val="18"/>
  </w:num>
  <w:num w:numId="23">
    <w:abstractNumId w:val="34"/>
  </w:num>
  <w:num w:numId="24">
    <w:abstractNumId w:val="40"/>
  </w:num>
  <w:num w:numId="25">
    <w:abstractNumId w:val="32"/>
  </w:num>
  <w:num w:numId="26">
    <w:abstractNumId w:val="24"/>
  </w:num>
  <w:num w:numId="27">
    <w:abstractNumId w:val="36"/>
  </w:num>
  <w:num w:numId="28">
    <w:abstractNumId w:val="26"/>
  </w:num>
  <w:num w:numId="29">
    <w:abstractNumId w:val="42"/>
  </w:num>
  <w:num w:numId="30">
    <w:abstractNumId w:val="29"/>
  </w:num>
  <w:num w:numId="31">
    <w:abstractNumId w:val="22"/>
  </w:num>
  <w:num w:numId="32">
    <w:abstractNumId w:val="39"/>
  </w:num>
  <w:num w:numId="33">
    <w:abstractNumId w:val="43"/>
  </w:num>
  <w:num w:numId="34">
    <w:abstractNumId w:val="31"/>
  </w:num>
  <w:num w:numId="35">
    <w:abstractNumId w:val="15"/>
  </w:num>
  <w:num w:numId="36">
    <w:abstractNumId w:val="7"/>
  </w:num>
  <w:num w:numId="37">
    <w:abstractNumId w:val="27"/>
  </w:num>
  <w:num w:numId="38">
    <w:abstractNumId w:val="4"/>
  </w:num>
  <w:num w:numId="39">
    <w:abstractNumId w:val="35"/>
  </w:num>
  <w:num w:numId="40">
    <w:abstractNumId w:val="12"/>
  </w:num>
  <w:num w:numId="41">
    <w:abstractNumId w:val="17"/>
  </w:num>
  <w:num w:numId="42">
    <w:abstractNumId w:val="28"/>
  </w:num>
  <w:num w:numId="43">
    <w:abstractNumId w:val="13"/>
  </w:num>
  <w:num w:numId="44">
    <w:abstractNumId w:val="23"/>
  </w:num>
  <w:num w:numId="4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characterSpacingControl w:val="doNotCompress"/>
  <w:footnotePr>
    <w:footnote w:id="-1"/>
    <w:footnote w:id="0"/>
  </w:footnotePr>
  <w:endnotePr>
    <w:endnote w:id="-1"/>
    <w:endnote w:id="0"/>
  </w:endnotePr>
  <w:compat/>
  <w:rsids>
    <w:rsidRoot w:val="00C00CC9"/>
    <w:rsid w:val="00002807"/>
    <w:rsid w:val="000063F6"/>
    <w:rsid w:val="0006689B"/>
    <w:rsid w:val="000A6ED8"/>
    <w:rsid w:val="000D249F"/>
    <w:rsid w:val="0018429D"/>
    <w:rsid w:val="001A0430"/>
    <w:rsid w:val="001C3C4A"/>
    <w:rsid w:val="001E0C4B"/>
    <w:rsid w:val="00235AD1"/>
    <w:rsid w:val="002D0682"/>
    <w:rsid w:val="003E3DE2"/>
    <w:rsid w:val="004236C4"/>
    <w:rsid w:val="00444E16"/>
    <w:rsid w:val="00490870"/>
    <w:rsid w:val="00496D7C"/>
    <w:rsid w:val="004F63A4"/>
    <w:rsid w:val="00551150"/>
    <w:rsid w:val="005D5A10"/>
    <w:rsid w:val="00606D53"/>
    <w:rsid w:val="006702E7"/>
    <w:rsid w:val="006845E2"/>
    <w:rsid w:val="006D4BBF"/>
    <w:rsid w:val="006D7BC7"/>
    <w:rsid w:val="00722BA6"/>
    <w:rsid w:val="007D0413"/>
    <w:rsid w:val="007E0A39"/>
    <w:rsid w:val="00817D3A"/>
    <w:rsid w:val="008238AC"/>
    <w:rsid w:val="008320EF"/>
    <w:rsid w:val="008A037B"/>
    <w:rsid w:val="008B71A4"/>
    <w:rsid w:val="00901985"/>
    <w:rsid w:val="009743A8"/>
    <w:rsid w:val="00976E47"/>
    <w:rsid w:val="00977839"/>
    <w:rsid w:val="00977B01"/>
    <w:rsid w:val="009B2765"/>
    <w:rsid w:val="00A255FD"/>
    <w:rsid w:val="00A4713A"/>
    <w:rsid w:val="00B0507E"/>
    <w:rsid w:val="00C00CC9"/>
    <w:rsid w:val="00C37B8E"/>
    <w:rsid w:val="00CE0642"/>
    <w:rsid w:val="00CE754D"/>
    <w:rsid w:val="00E148FE"/>
    <w:rsid w:val="00E16AC2"/>
    <w:rsid w:val="00ED21E6"/>
    <w:rsid w:val="00F10E10"/>
    <w:rsid w:val="00F12589"/>
    <w:rsid w:val="00F31DB9"/>
    <w:rsid w:val="00F85CA9"/>
    <w:rsid w:val="00FA4BE1"/>
    <w:rsid w:val="00FC5494"/>
    <w:rsid w:val="00FE2D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16"/>
    <w:pPr>
      <w:spacing w:after="0"/>
    </w:pPr>
    <w:rPr>
      <w:rFonts w:ascii="Times New Roman" w:hAnsi="Times New Roman"/>
      <w:sz w:val="20"/>
    </w:rPr>
  </w:style>
  <w:style w:type="paragraph" w:styleId="Titre1">
    <w:name w:val="heading 1"/>
    <w:basedOn w:val="Normal"/>
    <w:next w:val="Normal"/>
    <w:link w:val="Titre1Car"/>
    <w:uiPriority w:val="9"/>
    <w:qFormat/>
    <w:rsid w:val="008A037B"/>
    <w:pPr>
      <w:keepNext/>
      <w:keepLines/>
      <w:spacing w:before="120" w:after="120"/>
      <w:outlineLvl w:val="0"/>
    </w:pPr>
    <w:rPr>
      <w:rFonts w:asciiTheme="majorHAnsi" w:eastAsiaTheme="majorEastAsia" w:hAnsiTheme="majorHAnsi" w:cstheme="majorBidi"/>
      <w:b/>
      <w:bCs/>
      <w:color w:val="365F91" w:themeColor="accent1" w:themeShade="BF"/>
      <w:sz w:val="34"/>
      <w:szCs w:val="28"/>
      <w:u w:val="single"/>
    </w:rPr>
  </w:style>
  <w:style w:type="paragraph" w:styleId="Titre2">
    <w:name w:val="heading 2"/>
    <w:basedOn w:val="Normal"/>
    <w:next w:val="Normal"/>
    <w:link w:val="Titre2Car"/>
    <w:uiPriority w:val="9"/>
    <w:unhideWhenUsed/>
    <w:qFormat/>
    <w:rsid w:val="008A037B"/>
    <w:pPr>
      <w:keepNext/>
      <w:keepLines/>
      <w:outlineLvl w:val="1"/>
    </w:pPr>
    <w:rPr>
      <w:rFonts w:asciiTheme="majorHAnsi" w:eastAsiaTheme="majorEastAsia" w:hAnsiTheme="majorHAnsi" w:cstheme="majorBidi"/>
      <w:b/>
      <w:bCs/>
      <w:color w:val="4F6228" w:themeColor="accent3" w:themeShade="80"/>
      <w:sz w:val="26"/>
      <w:szCs w:val="26"/>
    </w:rPr>
  </w:style>
  <w:style w:type="paragraph" w:styleId="Titre3">
    <w:name w:val="heading 3"/>
    <w:basedOn w:val="Normal"/>
    <w:next w:val="Normal"/>
    <w:link w:val="Titre3Car"/>
    <w:uiPriority w:val="9"/>
    <w:unhideWhenUsed/>
    <w:qFormat/>
    <w:rsid w:val="00C00CC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CC9"/>
    <w:pPr>
      <w:ind w:left="720"/>
      <w:contextualSpacing/>
    </w:pPr>
  </w:style>
  <w:style w:type="paragraph" w:styleId="Textedebulles">
    <w:name w:val="Balloon Text"/>
    <w:basedOn w:val="Normal"/>
    <w:link w:val="TextedebullesCar"/>
    <w:uiPriority w:val="99"/>
    <w:semiHidden/>
    <w:unhideWhenUsed/>
    <w:rsid w:val="00C00CC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CC9"/>
    <w:rPr>
      <w:rFonts w:ascii="Tahoma" w:hAnsi="Tahoma" w:cs="Tahoma"/>
      <w:sz w:val="16"/>
      <w:szCs w:val="16"/>
    </w:rPr>
  </w:style>
  <w:style w:type="character" w:customStyle="1" w:styleId="Titre1Car">
    <w:name w:val="Titre 1 Car"/>
    <w:basedOn w:val="Policepardfaut"/>
    <w:link w:val="Titre1"/>
    <w:uiPriority w:val="9"/>
    <w:rsid w:val="008A037B"/>
    <w:rPr>
      <w:rFonts w:asciiTheme="majorHAnsi" w:eastAsiaTheme="majorEastAsia" w:hAnsiTheme="majorHAnsi" w:cstheme="majorBidi"/>
      <w:b/>
      <w:bCs/>
      <w:color w:val="365F91" w:themeColor="accent1" w:themeShade="BF"/>
      <w:sz w:val="34"/>
      <w:szCs w:val="28"/>
      <w:u w:val="single"/>
    </w:rPr>
  </w:style>
  <w:style w:type="character" w:customStyle="1" w:styleId="Titre2Car">
    <w:name w:val="Titre 2 Car"/>
    <w:basedOn w:val="Policepardfaut"/>
    <w:link w:val="Titre2"/>
    <w:uiPriority w:val="9"/>
    <w:rsid w:val="008A037B"/>
    <w:rPr>
      <w:rFonts w:asciiTheme="majorHAnsi" w:eastAsiaTheme="majorEastAsia" w:hAnsiTheme="majorHAnsi" w:cstheme="majorBidi"/>
      <w:b/>
      <w:bCs/>
      <w:color w:val="4F6228" w:themeColor="accent3" w:themeShade="80"/>
      <w:sz w:val="26"/>
      <w:szCs w:val="26"/>
    </w:rPr>
  </w:style>
  <w:style w:type="character" w:customStyle="1" w:styleId="Titre3Car">
    <w:name w:val="Titre 3 Car"/>
    <w:basedOn w:val="Policepardfaut"/>
    <w:link w:val="Titre3"/>
    <w:uiPriority w:val="9"/>
    <w:rsid w:val="00C00CC9"/>
    <w:rPr>
      <w:rFonts w:asciiTheme="majorHAnsi" w:eastAsiaTheme="majorEastAsia" w:hAnsiTheme="majorHAnsi" w:cstheme="majorBidi"/>
      <w:b/>
      <w:bCs/>
      <w:color w:val="4F81BD" w:themeColor="accent1"/>
    </w:rPr>
  </w:style>
  <w:style w:type="character" w:styleId="Emphaseple">
    <w:name w:val="Subtle Emphasis"/>
    <w:basedOn w:val="Policepardfaut"/>
    <w:uiPriority w:val="19"/>
    <w:qFormat/>
    <w:rsid w:val="00C00CC9"/>
    <w:rPr>
      <w:i/>
      <w:iCs/>
      <w:color w:val="808080" w:themeColor="text1" w:themeTint="7F"/>
    </w:rPr>
  </w:style>
  <w:style w:type="paragraph" w:styleId="En-tte">
    <w:name w:val="header"/>
    <w:basedOn w:val="Normal"/>
    <w:link w:val="En-tteCar"/>
    <w:uiPriority w:val="99"/>
    <w:unhideWhenUsed/>
    <w:rsid w:val="00C00CC9"/>
    <w:pPr>
      <w:tabs>
        <w:tab w:val="center" w:pos="4536"/>
        <w:tab w:val="right" w:pos="9072"/>
      </w:tabs>
      <w:spacing w:line="240" w:lineRule="auto"/>
    </w:pPr>
  </w:style>
  <w:style w:type="character" w:customStyle="1" w:styleId="En-tteCar">
    <w:name w:val="En-tête Car"/>
    <w:basedOn w:val="Policepardfaut"/>
    <w:link w:val="En-tte"/>
    <w:uiPriority w:val="99"/>
    <w:rsid w:val="00C00CC9"/>
  </w:style>
  <w:style w:type="paragraph" w:styleId="Pieddepage">
    <w:name w:val="footer"/>
    <w:basedOn w:val="Normal"/>
    <w:link w:val="PieddepageCar"/>
    <w:uiPriority w:val="99"/>
    <w:unhideWhenUsed/>
    <w:rsid w:val="00C00CC9"/>
    <w:pPr>
      <w:tabs>
        <w:tab w:val="center" w:pos="4536"/>
        <w:tab w:val="right" w:pos="9072"/>
      </w:tabs>
      <w:spacing w:line="240" w:lineRule="auto"/>
    </w:pPr>
  </w:style>
  <w:style w:type="character" w:customStyle="1" w:styleId="PieddepageCar">
    <w:name w:val="Pied de page Car"/>
    <w:basedOn w:val="Policepardfaut"/>
    <w:link w:val="Pieddepage"/>
    <w:uiPriority w:val="99"/>
    <w:rsid w:val="00C00CC9"/>
  </w:style>
  <w:style w:type="paragraph" w:customStyle="1" w:styleId="Default">
    <w:name w:val="Default"/>
    <w:rsid w:val="000D249F"/>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59"/>
    <w:rsid w:val="000D24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F10E10"/>
    <w:rPr>
      <w:color w:val="0000FF"/>
      <w:u w:val="single"/>
    </w:rPr>
  </w:style>
  <w:style w:type="character" w:styleId="Textedelespacerserv">
    <w:name w:val="Placeholder Text"/>
    <w:basedOn w:val="Policepardfaut"/>
    <w:uiPriority w:val="99"/>
    <w:semiHidden/>
    <w:rsid w:val="00ED21E6"/>
    <w:rPr>
      <w:color w:val="808080"/>
    </w:rPr>
  </w:style>
  <w:style w:type="character" w:customStyle="1" w:styleId="nowrap">
    <w:name w:val="nowrap"/>
    <w:basedOn w:val="Policepardfaut"/>
    <w:rsid w:val="00606D53"/>
  </w:style>
  <w:style w:type="character" w:styleId="Rfrenceintense">
    <w:name w:val="Intense Reference"/>
    <w:basedOn w:val="Policepardfaut"/>
    <w:uiPriority w:val="32"/>
    <w:qFormat/>
    <w:rsid w:val="008238AC"/>
    <w:rPr>
      <w:b/>
      <w:bCs/>
      <w:smallCaps/>
      <w:color w:val="C0504D"/>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png"/><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20.png"/><Relationship Id="rId47" Type="http://schemas.openxmlformats.org/officeDocument/2006/relationships/image" Target="media/image23.wmf"/><Relationship Id="rId50" Type="http://schemas.openxmlformats.org/officeDocument/2006/relationships/oleObject" Target="embeddings/oleObject19.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0.wmf"/><Relationship Id="rId89"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3.bin"/><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4.bin"/><Relationship Id="rId87"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image" Target="media/image39.wmf"/><Relationship Id="rId90"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image" Target="media/image35.wmf"/><Relationship Id="rId80" Type="http://schemas.openxmlformats.org/officeDocument/2006/relationships/oleObject" Target="embeddings/oleObject35.bin"/><Relationship Id="rId85" Type="http://schemas.openxmlformats.org/officeDocument/2006/relationships/oleObject" Target="embeddings/oleObject38.bin"/><Relationship Id="rId93"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oleObject" Target="embeddings/oleObject17.bin"/><Relationship Id="rId59" Type="http://schemas.openxmlformats.org/officeDocument/2006/relationships/image" Target="media/image29.wmf"/><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image" Target="media/image19.png"/><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7.bin"/><Relationship Id="rId88" Type="http://schemas.openxmlformats.org/officeDocument/2006/relationships/image" Target="media/image43.wmf"/><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image" Target="media/image41.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javascript:popup_imp('/hordeetu/imp/compose.php',700,650,'to=Salim%20Moulay-Rchid%20%3Csalim.moulay.rchid%40gmail.com%3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54DB56E0E746E2B4C7DC65CA69466B"/>
        <w:category>
          <w:name w:val="Général"/>
          <w:gallery w:val="placeholder"/>
        </w:category>
        <w:types>
          <w:type w:val="bbPlcHdr"/>
        </w:types>
        <w:behaviors>
          <w:behavior w:val="content"/>
        </w:behaviors>
        <w:guid w:val="{279BC53B-68A5-4881-B462-9DEF20F04079}"/>
      </w:docPartPr>
      <w:docPartBody>
        <w:p w:rsidR="0055060C" w:rsidRDefault="00823BC2" w:rsidP="00823BC2">
          <w:pPr>
            <w:pStyle w:val="DA54DB56E0E746E2B4C7DC65CA69466B"/>
          </w:pPr>
          <w:r>
            <w:rPr>
              <w:b/>
              <w:bCs/>
              <w:color w:val="1F497D" w:themeColor="text2"/>
              <w:sz w:val="28"/>
              <w:szCs w:val="28"/>
            </w:rPr>
            <w:t>[Tapez le titre du document]</w:t>
          </w:r>
        </w:p>
      </w:docPartBody>
    </w:docPart>
    <w:docPart>
      <w:docPartPr>
        <w:name w:val="33AC25B4A82B44428B801EA2EE0940F7"/>
        <w:category>
          <w:name w:val="Général"/>
          <w:gallery w:val="placeholder"/>
        </w:category>
        <w:types>
          <w:type w:val="bbPlcHdr"/>
        </w:types>
        <w:behaviors>
          <w:behavior w:val="content"/>
        </w:behaviors>
        <w:guid w:val="{A75E98D6-994A-4B9B-B9FD-08E8ACBD83E7}"/>
      </w:docPartPr>
      <w:docPartBody>
        <w:p w:rsidR="0055060C" w:rsidRDefault="00823BC2" w:rsidP="00823BC2">
          <w:pPr>
            <w:pStyle w:val="33AC25B4A82B44428B801EA2EE0940F7"/>
          </w:pPr>
          <w:r>
            <w:rPr>
              <w:color w:val="4F81BD" w:themeColor="accent1"/>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20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FBX1440">
    <w:panose1 w:val="00000000000000000000"/>
    <w:charset w:val="00"/>
    <w:family w:val="swiss"/>
    <w:notTrueType/>
    <w:pitch w:val="default"/>
    <w:sig w:usb0="00000003" w:usb1="00000000" w:usb2="00000000" w:usb3="00000000" w:csb0="00000001" w:csb1="00000000"/>
  </w:font>
  <w:font w:name="LNIKDJ+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3BC2"/>
    <w:rsid w:val="000D668C"/>
    <w:rsid w:val="0055060C"/>
    <w:rsid w:val="00626F8C"/>
    <w:rsid w:val="00823BC2"/>
    <w:rsid w:val="00860086"/>
    <w:rsid w:val="00CA2226"/>
    <w:rsid w:val="00D336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6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54DB56E0E746E2B4C7DC65CA69466B">
    <w:name w:val="DA54DB56E0E746E2B4C7DC65CA69466B"/>
    <w:rsid w:val="00823BC2"/>
  </w:style>
  <w:style w:type="paragraph" w:customStyle="1" w:styleId="33AC25B4A82B44428B801EA2EE0940F7">
    <w:name w:val="33AC25B4A82B44428B801EA2EE0940F7"/>
    <w:rsid w:val="00823BC2"/>
  </w:style>
  <w:style w:type="paragraph" w:customStyle="1" w:styleId="7E4E05AEF9BE49968378EA61CCB820DF">
    <w:name w:val="7E4E05AEF9BE49968378EA61CCB820DF"/>
    <w:rsid w:val="00823BC2"/>
  </w:style>
  <w:style w:type="character" w:styleId="Textedelespacerserv">
    <w:name w:val="Placeholder Text"/>
    <w:basedOn w:val="Policepardfaut"/>
    <w:uiPriority w:val="99"/>
    <w:semiHidden/>
    <w:rsid w:val="00823BC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E830-4F65-4E91-B46A-F4FD2A64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1138</Words>
  <Characters>6259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TP4 – Analyses discriminantes quadratique et linéaire</vt:lpstr>
    </vt:vector>
  </TitlesOfParts>
  <Company/>
  <LinksUpToDate>false</LinksUpToDate>
  <CharactersWithSpaces>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 – Analyses discriminantes quadratique et linéaire </dc:title>
  <dc:subject>SY09 Printemps 2010</dc:subject>
  <dc:creator>Hicham</dc:creator>
  <cp:lastModifiedBy>Hicham</cp:lastModifiedBy>
  <cp:revision>7</cp:revision>
  <dcterms:created xsi:type="dcterms:W3CDTF">2010-06-08T19:49:00Z</dcterms:created>
  <dcterms:modified xsi:type="dcterms:W3CDTF">2010-06-08T21:31:00Z</dcterms:modified>
</cp:coreProperties>
</file>