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280"/>
        <w:jc w:val="center"/>
      </w:pPr>
      <w:r>
        <w:rPr>
          <w:b/>
          <w:color w:val="2E74B5"/>
          <w:sz w:val="20"/>
        </w:rPr>
        <w:t>HR ASSISTANT KNOWLEDGE BASE</w:t>
      </w:r>
    </w:p>
    <w:p>
      <w:pPr>
        <w:spacing w:after="200"/>
        <w:jc w:val="center"/>
      </w:pPr>
      <w:r>
        <w:rPr>
          <w:rFonts w:ascii="Calibri" w:hAnsi="Calibri"/>
          <w:b/>
          <w:color w:val="142030"/>
          <w:sz w:val="50"/>
        </w:rPr>
        <w:t>Enterprise HR Policy Handbook</w:t>
      </w:r>
    </w:p>
    <w:p>
      <w:pPr>
        <w:spacing w:after="720"/>
        <w:jc w:val="center"/>
      </w:pPr>
      <w:r>
        <w:rPr>
          <w:color w:val="596069"/>
          <w:sz w:val="26"/>
        </w:rPr>
        <w:t>Demonstration policy corpus for conversational RAG testing</w:t>
      </w:r>
    </w:p>
    <w:p>
      <w:pPr>
        <w:spacing w:before="200" w:after="360"/>
        <w:ind w:left="648" w:right="648"/>
        <w:shd w:fill="F2F4F7"/>
      </w:pPr>
      <w:r>
        <w:rPr>
          <w:b/>
          <w:color w:val="5C3014"/>
          <w:sz w:val="21"/>
        </w:rPr>
        <w:t>Important: This handbook is demonstration content. It is not an adopted company policy and does not replace HR, legal, payroll, tax, safety, or regulatory review.</w:t>
      </w:r>
    </w:p>
    <w:p>
      <w:pPr>
        <w:jc w:val="center"/>
      </w:pPr>
      <w:r>
        <w:rPr>
          <w:color w:val="596069"/>
          <w:sz w:val="20"/>
        </w:rPr>
        <w:t>Version 1.0-demo | Prepared June 2026</w:t>
      </w:r>
    </w:p>
    <w:p>
      <w:r>
        <w:br w:type="page"/>
      </w:r>
    </w:p>
    <w:p>
      <w:pPr>
        <w:pStyle w:val="Heading1"/>
        <w:spacing w:before="0"/>
      </w:pPr>
      <w:r>
        <w:t>How to Use This Demonstration Handbook</w:t>
      </w:r>
    </w:p>
    <w:p>
      <w:r>
        <w:t>The HR Assistant retrieves relevant sections from this corpus and supplies them to Gemini together with authorized employee context. Responses should cite the policy title, distinguish advice from completed action, and state when the available policy is insufficient.</w:t>
      </w:r>
    </w:p>
    <w:p>
      <w:pPr>
        <w:pStyle w:val="Heading2"/>
      </w:pPr>
      <w:r>
        <w:t>Included Policy Areas</w:t>
      </w:r>
    </w:p>
    <w:p>
      <w:pPr>
        <w:pStyle w:val="ListBullet"/>
      </w:pPr>
      <w:r>
        <w:t>Code of Conduct and Employee Relations Policy</w:t>
      </w:r>
    </w:p>
    <w:p>
      <w:pPr>
        <w:pStyle w:val="ListBullet"/>
      </w:pPr>
      <w:r>
        <w:t>Leave, Attendance, and Life Events Policy</w:t>
      </w:r>
    </w:p>
    <w:p>
      <w:pPr>
        <w:pStyle w:val="ListBullet"/>
      </w:pPr>
      <w:r>
        <w:t>Expense, Travel, and Approval Policy</w:t>
      </w:r>
    </w:p>
    <w:p>
      <w:pPr>
        <w:pStyle w:val="ListBullet"/>
      </w:pPr>
      <w:r>
        <w:t>Payroll, Benefits, and Employee Data Policy</w:t>
      </w:r>
    </w:p>
    <w:p>
      <w:pPr>
        <w:pStyle w:val="ListBullet"/>
      </w:pPr>
      <w:r>
        <w:t>Approval Delegation and Service Levels Policy</w:t>
      </w:r>
    </w:p>
    <w:p>
      <w:pPr>
        <w:pStyle w:val="ListBullet"/>
      </w:pPr>
      <w:r>
        <w:t>Workplace Operations, Security, and Employment Policy</w:t>
      </w:r>
    </w:p>
    <w:p>
      <w:r>
        <w:br w:type="page"/>
      </w:r>
    </w:p>
    <w:p>
      <w:pPr>
        <w:pStyle w:val="Heading1"/>
      </w:pPr>
      <w:r>
        <w:t>Code of Conduct and Employee Relations Policy</w:t>
      </w:r>
    </w:p>
    <w:p>
      <w:pPr>
        <w:spacing w:after="40"/>
      </w:pPr>
      <w:r>
        <w:rPr>
          <w:color w:val="596069"/>
          <w:sz w:val="18"/>
        </w:rPr>
        <w:t>Category: Employee Relations</w:t>
      </w:r>
    </w:p>
    <w:p>
      <w:pPr>
        <w:spacing w:after="40"/>
      </w:pPr>
      <w:r>
        <w:rPr>
          <w:color w:val="596069"/>
          <w:sz w:val="18"/>
        </w:rPr>
        <w:t>Version: 1.0-demo</w:t>
      </w:r>
    </w:p>
    <w:p>
      <w:pPr>
        <w:widowControl/>
      </w:pPr>
      <w:r>
        <w:t>This is a demonstration policy for the HR Assistant project. An employer must obtain HR and legal review before adopting it.</w:t>
      </w:r>
    </w:p>
    <w:p>
      <w:pPr>
        <w:pStyle w:val="Heading2"/>
      </w:pPr>
      <w:r>
        <w:t>Respectful workplace</w:t>
      </w:r>
    </w:p>
    <w:p>
      <w:pPr>
        <w:widowControl/>
      </w:pPr>
      <w:r>
        <w:t>All employees, contractors, managers, clients, and visitors must be treated with dignity and respect. Bullying, intimidation, humiliation, unwanted sexual conduct, discriminatory remarks, repeated hostile communication, retaliation, and abuse of authority are prohibited in the workplace and in work-related digital channels, travel, events, and remote meetings.</w:t>
      </w:r>
    </w:p>
    <w:p>
      <w:pPr>
        <w:widowControl/>
      </w:pPr>
      <w:r>
        <w:t>Employees are not expected to confront a person whose conduct makes them feel unsafe. A person may set a boundary when comfortable, but reporting does not depend on first confronting the subject of the complaint.</w:t>
      </w:r>
    </w:p>
    <w:p>
      <w:pPr>
        <w:pStyle w:val="Heading2"/>
      </w:pPr>
      <w:r>
        <w:t>Reporting harassment or misconduct</w:t>
      </w:r>
    </w:p>
    <w:p>
      <w:pPr>
        <w:widowControl/>
      </w:pPr>
      <w:r>
        <w:t>An employee may report a concern to their manager, another manager, HR, the designated ethics contact, or the confidential reporting channel. If the manager is involved, unavailable, or creates a conflict of interest, the employee should use HR, the skip-level manager, or the ethics channel.</w:t>
      </w:r>
    </w:p>
    <w:p>
      <w:pPr>
        <w:widowControl/>
      </w:pPr>
      <w:r>
        <w:t>A useful report includes what occurred, dates and locations, people involved, witnesses, and any messages or documents. Employees should preserve relevant evidence and avoid altering original records. Lack of complete evidence does not prevent a report.</w:t>
      </w:r>
    </w:p>
    <w:p>
      <w:pPr>
        <w:widowControl/>
      </w:pPr>
      <w:r>
        <w:t>The company should acknowledge the concern promptly, explain the review process, limit information to people who need it, and take proportionate interim safety measures where required.</w:t>
      </w:r>
    </w:p>
    <w:p>
      <w:pPr>
        <w:pStyle w:val="Heading2"/>
      </w:pPr>
      <w:r>
        <w:t>Anti-retaliation</w:t>
      </w:r>
    </w:p>
    <w:p>
      <w:pPr>
        <w:widowControl/>
      </w:pPr>
      <w:r>
        <w:t>Retaliation against a person who raises a concern in good faith, assists a review, requests an accommodation, or refuses unlawful conduct is prohibited. Suspected retaliation should be reported immediately through HR, a skip-level manager, or the ethics channel.</w:t>
      </w:r>
    </w:p>
    <w:p>
      <w:pPr>
        <w:pStyle w:val="Heading2"/>
      </w:pPr>
      <w:r>
        <w:t>Immediate safety</w:t>
      </w:r>
    </w:p>
    <w:p>
      <w:pPr>
        <w:widowControl/>
      </w:pPr>
      <w:r>
        <w:t>If there is an immediate threat of harm, the employee should move to a safe place and contact local emergency services or workplace security. The HR assistant must not delay urgent help by requiring the employee to complete an internal form first.</w:t>
      </w:r>
    </w:p>
    <w:p>
      <w:pPr>
        <w:pStyle w:val="Heading2"/>
      </w:pPr>
      <w:r>
        <w:t>Grievances and conflict resolution</w:t>
      </w:r>
    </w:p>
    <w:p>
      <w:pPr>
        <w:widowControl/>
      </w:pPr>
      <w:r>
        <w:t>Routine work disagreements may be addressed through a manager-facilitated discussion, HR mediation, or a written grievance. Allegations involving harassment, discrimination, violence, retaliation, fraud, or serious misconduct require formal review rather than informal mediation alone.</w:t>
      </w:r>
    </w:p>
    <w:p>
      <w:pPr>
        <w:pStyle w:val="Heading2"/>
      </w:pPr>
      <w:r>
        <w:t>Whistleblowing</w:t>
      </w:r>
    </w:p>
    <w:p>
      <w:pPr>
        <w:widowControl/>
      </w:pPr>
      <w:r>
        <w:t>Concerns involving fraud, bribery, data misuse, financial manipulation, serious safety violations, or concealment of misconduct may be submitted through the confidential ethics channel. Reports should be handled independently when senior leadership may be involved.</w:t>
      </w:r>
    </w:p>
    <w:p>
      <w:r>
        <w:br w:type="page"/>
      </w:r>
    </w:p>
    <w:p>
      <w:pPr>
        <w:pStyle w:val="Heading1"/>
      </w:pPr>
      <w:r>
        <w:t>Leave, Attendance, and Life Events Policy</w:t>
      </w:r>
    </w:p>
    <w:p>
      <w:pPr>
        <w:spacing w:after="40"/>
      </w:pPr>
      <w:r>
        <w:rPr>
          <w:color w:val="596069"/>
          <w:sz w:val="18"/>
        </w:rPr>
        <w:t>Category: Leave and Attendance</w:t>
      </w:r>
    </w:p>
    <w:p>
      <w:pPr>
        <w:spacing w:after="40"/>
      </w:pPr>
      <w:r>
        <w:rPr>
          <w:color w:val="596069"/>
          <w:sz w:val="18"/>
        </w:rPr>
        <w:t>Version: 1.0-demo</w:t>
      </w:r>
    </w:p>
    <w:p>
      <w:pPr>
        <w:widowControl/>
      </w:pPr>
      <w:r>
        <w:t>This is a demonstration policy. Leave entitlements and statutory requirements must be reviewed for the employee's jurisdiction before adoption.</w:t>
      </w:r>
    </w:p>
    <w:p>
      <w:pPr>
        <w:pStyle w:val="Heading2"/>
      </w:pPr>
      <w:r>
        <w:t>General leave requests</w:t>
      </w:r>
    </w:p>
    <w:p>
      <w:pPr>
        <w:widowControl/>
      </w:pPr>
      <w:r>
        <w:t>Employees should submit planned leave as early as practical and provide dates, leave type, duration, and a short business-appropriate reason. Leave is not final until approved unless emergency or statutory rules state otherwise. Leave balances are deducted only after approval.</w:t>
      </w:r>
    </w:p>
    <w:p>
      <w:pPr>
        <w:widowControl/>
      </w:pPr>
      <w:r>
        <w:t>When an employee asks a question about past leave, the system should retrieve approved leave records for the requested period. It must not start a new leave application merely because the message contains words such as take or leave.</w:t>
      </w:r>
    </w:p>
    <w:p>
      <w:pPr>
        <w:pStyle w:val="Heading2"/>
      </w:pPr>
      <w:r>
        <w:t>Bereavement</w:t>
      </w:r>
    </w:p>
    <w:p>
      <w:pPr>
        <w:widowControl/>
      </w:pPr>
      <w:r>
        <w:t>An employee experiencing the death of a close family member should receive a compassionate response before administrative guidance. The employee may request Bereavement Leave and may combine it with Casual Leave, Privilege Leave, or unpaid leave when policy and balances permit.</w:t>
      </w:r>
    </w:p>
    <w:p>
      <w:pPr>
        <w:widowControl/>
      </w:pPr>
      <w:r>
        <w:t>The employee should not be pressured to provide detailed personal information in chat. HR may request reasonable documentation only where policy requires it and should allow the employee time to provide it.</w:t>
      </w:r>
    </w:p>
    <w:p>
      <w:pPr>
        <w:pStyle w:val="Heading2"/>
      </w:pPr>
      <w:r>
        <w:t>Marriage, childbirth, adoption, and caregiving</w:t>
      </w:r>
    </w:p>
    <w:p>
      <w:pPr>
        <w:widowControl/>
      </w:pPr>
      <w:r>
        <w:t>Employees may be eligible for Marriage Leave, Maternity Leave, Paternity Leave, Adoption Leave, Miscarriage Leave, or another applicable leave type. The assistant should explain likely options and check balances, but should not assume the employee wants to submit a request until the employee indicates that intent.</w:t>
      </w:r>
    </w:p>
    <w:p>
      <w:pPr>
        <w:pStyle w:val="Heading2"/>
      </w:pPr>
      <w:r>
        <w:t>Medical and emergency absence</w:t>
      </w:r>
    </w:p>
    <w:p>
      <w:pPr>
        <w:widowControl/>
      </w:pPr>
      <w:r>
        <w:t>Employees should prioritize immediate health and safety. They may notify the manager or HR as soon as reasonably possible. The assistant may help record an absence or prepare leave, but it must not provide medical diagnosis or demand sensitive medical details.</w:t>
      </w:r>
    </w:p>
    <w:p>
      <w:pPr>
        <w:pStyle w:val="Heading2"/>
      </w:pPr>
      <w:r>
        <w:t>Attendance corrections</w:t>
      </w:r>
    </w:p>
    <w:p>
      <w:pPr>
        <w:widowControl/>
      </w:pPr>
      <w:r>
        <w:t>Missing punches, incorrect status, or system outages should be reported with the affected date, approximate time, work location, and any supporting information. The manager or HR reviews the correction. A missing punch must not automatically be treated as misconduct.</w:t>
      </w:r>
    </w:p>
    <w:p>
      <w:pPr>
        <w:pStyle w:val="Heading2"/>
      </w:pPr>
      <w:r>
        <w:t>Monthly leave history</w:t>
      </w:r>
    </w:p>
    <w:p>
      <w:pPr>
        <w:widowControl/>
      </w:pPr>
      <w:r>
        <w:t>Queries such as "Did I take leave this month?" or "What leave did I take in June?" are retrieval requests. Return only the employee's approved leave records overlapping the requested month, with total approved days. Pending or rejected requests may be shown separately when explicitly requested.</w:t>
      </w:r>
    </w:p>
    <w:p>
      <w:r>
        <w:br w:type="page"/>
      </w:r>
    </w:p>
    <w:p>
      <w:pPr>
        <w:pStyle w:val="Heading1"/>
      </w:pPr>
      <w:r>
        <w:t>Expense, Travel, and Approval Policy</w:t>
      </w:r>
    </w:p>
    <w:p>
      <w:pPr>
        <w:spacing w:after="40"/>
      </w:pPr>
      <w:r>
        <w:rPr>
          <w:color w:val="596069"/>
          <w:sz w:val="18"/>
        </w:rPr>
        <w:t>Category: Expenses and Travel</w:t>
      </w:r>
    </w:p>
    <w:p>
      <w:pPr>
        <w:spacing w:after="40"/>
      </w:pPr>
      <w:r>
        <w:rPr>
          <w:color w:val="596069"/>
          <w:sz w:val="18"/>
        </w:rPr>
        <w:t>Version: 1.0-demo</w:t>
      </w:r>
    </w:p>
    <w:p>
      <w:pPr>
        <w:widowControl/>
      </w:pPr>
      <w:r>
        <w:t>This demonstration policy reflects the rules configured in the HR Assistant project and requires company review before adoption.</w:t>
      </w:r>
    </w:p>
    <w:p>
      <w:pPr>
        <w:pStyle w:val="Heading2"/>
      </w:pPr>
      <w:r>
        <w:t>Reimbursable expenses</w:t>
      </w:r>
    </w:p>
    <w:p>
      <w:pPr>
        <w:widowControl/>
      </w:pPr>
      <w:r>
        <w:t>Reasonable work-related Travel, Food, Accommodation, and Software or Tools expenses may be submitted for reimbursement. Personal expenses, duplicate claims, altered receipts, and unsupported business expenses are not reimbursable.</w:t>
      </w:r>
    </w:p>
    <w:p>
      <w:pPr>
        <w:widowControl/>
      </w:pPr>
      <w:r>
        <w:t>Claims of INR 200 or less require an expense type and may include an optional description. A receipt is not required. Claims above INR 200 require an expense type, description, and receipt.</w:t>
      </w:r>
    </w:p>
    <w:p>
      <w:pPr>
        <w:pStyle w:val="Heading2"/>
      </w:pPr>
      <w:r>
        <w:t>Receipt validation</w:t>
      </w:r>
    </w:p>
    <w:p>
      <w:pPr>
        <w:widowControl/>
      </w:pPr>
      <w:r>
        <w:t>Claims above INR 200 use OCR to extract the total, bill date, invoice number, and vendor. The receipt should be from the current month. Duplicate invoice numbers are rejected. If OCR cannot confidently validate the amount, the claim may be flagged for manager amount review rather than represented as automatically validated.</w:t>
      </w:r>
    </w:p>
    <w:p>
      <w:pPr>
        <w:pStyle w:val="Heading2"/>
      </w:pPr>
      <w:r>
        <w:t>Manager approval</w:t>
      </w:r>
    </w:p>
    <w:p>
      <w:pPr>
        <w:widowControl/>
      </w:pPr>
      <w:r>
        <w:t>The approver reviews business purpose, category, amount, receipt, policy compliance, and available budget. Rejected claims require a reason. Only approved reimbursements may flow into payroll.</w:t>
      </w:r>
    </w:p>
    <w:p>
      <w:pPr>
        <w:pStyle w:val="Heading2"/>
      </w:pPr>
      <w:r>
        <w:t>Manager unavailable or on leave</w:t>
      </w:r>
    </w:p>
    <w:p>
      <w:pPr>
        <w:widowControl/>
      </w:pPr>
      <w:r>
        <w:t>An employee should not submit a duplicate claim merely because the assigned manager is unavailable. The system should first check whether an active approval delegation exists. If a valid delegate exists, the claim may be routed to that delegate with an audit record.</w:t>
      </w:r>
    </w:p>
    <w:p>
      <w:pPr>
        <w:widowControl/>
      </w:pPr>
      <w:r>
        <w:t>If no delegate exists and the request has exceeded the configured service time, HR or the finance operations owner may route it to the manager's manager or another authorized approver. Escalation must be offered, not silently performed. The employee should see who currently owns the approval and whether escalation was requested.</w:t>
      </w:r>
    </w:p>
    <w:p>
      <w:pPr>
        <w:pStyle w:val="Heading2"/>
      </w:pPr>
      <w:r>
        <w:t>Business travel</w:t>
      </w:r>
    </w:p>
    <w:p>
      <w:pPr>
        <w:widowControl/>
      </w:pPr>
      <w:r>
        <w:t>Employees should obtain required pre-approval before booking travel, use reasonable transport and accommodation, retain itemized receipts, and submit claims promptly. Safety concerns during travel take priority over cost optimization.</w:t>
      </w:r>
    </w:p>
    <w:p>
      <w:r>
        <w:br w:type="page"/>
      </w:r>
    </w:p>
    <w:p>
      <w:pPr>
        <w:pStyle w:val="Heading1"/>
      </w:pPr>
      <w:r>
        <w:t>Payroll, Benefits, and Employee Data Policy</w:t>
      </w:r>
    </w:p>
    <w:p>
      <w:pPr>
        <w:spacing w:after="40"/>
      </w:pPr>
      <w:r>
        <w:rPr>
          <w:color w:val="596069"/>
          <w:sz w:val="18"/>
        </w:rPr>
        <w:t>Category: Payroll and Benefits</w:t>
      </w:r>
    </w:p>
    <w:p>
      <w:pPr>
        <w:spacing w:after="40"/>
      </w:pPr>
      <w:r>
        <w:rPr>
          <w:color w:val="596069"/>
          <w:sz w:val="18"/>
        </w:rPr>
        <w:t>Version: 1.0-demo</w:t>
      </w:r>
    </w:p>
    <w:p>
      <w:pPr>
        <w:widowControl/>
      </w:pPr>
      <w:r>
        <w:t>This is a demonstration policy and does not replace payroll, tax, benefits, or legal advice.</w:t>
      </w:r>
    </w:p>
    <w:p>
      <w:pPr>
        <w:pStyle w:val="Heading2"/>
      </w:pPr>
      <w:r>
        <w:t>Payroll records</w:t>
      </w:r>
    </w:p>
    <w:p>
      <w:pPr>
        <w:widowControl/>
      </w:pPr>
      <w:r>
        <w:t>Employees may access only their own salary records and payslips. Salary responses should come from approved payroll records and show basic salary, HRA, allowances, reimbursements, deductions, and net salary where available.</w:t>
      </w:r>
    </w:p>
    <w:p>
      <w:pPr>
        <w:widowControl/>
      </w:pPr>
      <w:r>
        <w:t>Approved reimbursements may be included in a later payroll cycle. Pending or rejected expense claims must not affect payroll. Differences between months should explain changes in reimbursements and deductions when those records are available.</w:t>
      </w:r>
    </w:p>
    <w:p>
      <w:pPr>
        <w:pStyle w:val="Heading2"/>
      </w:pPr>
      <w:r>
        <w:t>Payslips</w:t>
      </w:r>
    </w:p>
    <w:p>
      <w:pPr>
        <w:widowControl/>
      </w:pPr>
      <w:r>
        <w:t>Employees may view and download their own payslips. A payslip should identify the salary month, earnings, deductions, reimbursements, and net salary. Access links must require an authenticated employee session.</w:t>
      </w:r>
    </w:p>
    <w:p>
      <w:pPr>
        <w:pStyle w:val="Heading2"/>
      </w:pPr>
      <w:r>
        <w:t>Payroll questions and corrections</w:t>
      </w:r>
    </w:p>
    <w:p>
      <w:pPr>
        <w:widowControl/>
      </w:pPr>
      <w:r>
        <w:t>Questions about an unexpected deduction or missing reimbursement should be answered using available payroll and expense records. If records do not explain the difference, the assistant should offer a payroll review request and state what information is missing rather than guessing.</w:t>
      </w:r>
    </w:p>
    <w:p>
      <w:pPr>
        <w:pStyle w:val="Heading2"/>
      </w:pPr>
      <w:r>
        <w:t>Benefits and wellbeing</w:t>
      </w:r>
    </w:p>
    <w:p>
      <w:pPr>
        <w:widowControl/>
      </w:pPr>
      <w:r>
        <w:t>The company may provide benefits such as insurance, wellbeing support, employee assistance, retirement benefits, or allowances. Eligibility and coverage must be retrieved from the applicable benefit document. The assistant must not infer coverage from a life event when no benefit policy has been retrieved.</w:t>
      </w:r>
    </w:p>
    <w:p>
      <w:pPr>
        <w:pStyle w:val="Heading2"/>
      </w:pPr>
      <w:r>
        <w:t>Privacy and minimum necessary access</w:t>
      </w:r>
    </w:p>
    <w:p>
      <w:pPr>
        <w:widowControl/>
      </w:pPr>
      <w:r>
        <w:t>Employees may view their own HR records. Managers may access only the employee information required for authorized management duties. Coworker leave reasons, medical information, payroll, and detailed attendance records are private.</w:t>
      </w:r>
    </w:p>
    <w:p>
      <w:pPr>
        <w:widowControl/>
      </w:pPr>
      <w:r>
        <w:t>The assistant may disclose minimal availability information for an assigned manager when policy and access rules allow it, such as "available" or "on approved leave." It must not disclose the manager's leave type, reason, medical details, or unrelated attendance history.</w:t>
      </w:r>
    </w:p>
    <w:p>
      <w:r>
        <w:br w:type="page"/>
      </w:r>
    </w:p>
    <w:p>
      <w:pPr>
        <w:pStyle w:val="Heading1"/>
      </w:pPr>
      <w:r>
        <w:t>Approval Delegation and Service Levels Policy</w:t>
      </w:r>
    </w:p>
    <w:p>
      <w:pPr>
        <w:spacing w:after="40"/>
      </w:pPr>
      <w:r>
        <w:rPr>
          <w:color w:val="596069"/>
          <w:sz w:val="18"/>
        </w:rPr>
        <w:t>Category: Approvals and Escalations</w:t>
      </w:r>
    </w:p>
    <w:p>
      <w:pPr>
        <w:spacing w:after="40"/>
      </w:pPr>
      <w:r>
        <w:rPr>
          <w:color w:val="596069"/>
          <w:sz w:val="18"/>
        </w:rPr>
        <w:t>Version: 1.0-demo</w:t>
      </w:r>
    </w:p>
    <w:p>
      <w:pPr>
        <w:widowControl/>
      </w:pPr>
      <w:r>
        <w:t>This is a demonstration policy. Delegation limits and financial authority must be configured by the company before use.</w:t>
      </w:r>
    </w:p>
    <w:p>
      <w:pPr>
        <w:pStyle w:val="Heading2"/>
      </w:pPr>
      <w:r>
        <w:t>Approval ownership</w:t>
      </w:r>
    </w:p>
    <w:p>
      <w:pPr>
        <w:widowControl/>
      </w:pPr>
      <w:r>
        <w:t>Leave and expense requests are normally assigned to the employee's configured manager. The application must store the responsible approver and preserve an audit trail when ownership changes.</w:t>
      </w:r>
    </w:p>
    <w:p>
      <w:pPr>
        <w:pStyle w:val="Heading2"/>
      </w:pPr>
      <w:r>
        <w:t>Planned manager absence</w:t>
      </w:r>
    </w:p>
    <w:p>
      <w:pPr>
        <w:widowControl/>
      </w:pPr>
      <w:r>
        <w:t>Before planned leave, a manager may appoint an authorized delegate for leave approvals, expense approvals, or both. A delegation requires a start time, end time, scope, and delegate identity. Delegation does not increase the delegate's financial authority beyond configured limits.</w:t>
      </w:r>
    </w:p>
    <w:p>
      <w:pPr>
        <w:pStyle w:val="Heading2"/>
      </w:pPr>
      <w:r>
        <w:t>Escalation</w:t>
      </w:r>
    </w:p>
    <w:p>
      <w:pPr>
        <w:widowControl/>
      </w:pPr>
      <w:r>
        <w:t>When an assigned approver is unavailable and no valid delegate exists, an employee may request escalation. The system should check the manager hierarchy and route only to an authorized skip-level manager, HR operations owner, or finance approver.</w:t>
      </w:r>
    </w:p>
    <w:p>
      <w:pPr>
        <w:widowControl/>
      </w:pPr>
      <w:r>
        <w:t>The assistant must explain the current status and ask for confirmation before creating an escalation. It must never claim that a request has been escalated merely because escalation was discussed.</w:t>
      </w:r>
    </w:p>
    <w:p>
      <w:pPr>
        <w:pStyle w:val="Heading2"/>
      </w:pPr>
      <w:r>
        <w:t>Service levels</w:t>
      </w:r>
    </w:p>
    <w:p>
      <w:pPr>
        <w:widowControl/>
      </w:pPr>
      <w:r>
        <w:t>Routine leave and expense approvals should be reviewed within two working days. Urgent leave should be acknowledged as soon as practical. Expense escalation may be offered after two working days or sooner when payroll cutoff or business travel creates a documented urgency.</w:t>
      </w:r>
    </w:p>
    <w:p>
      <w:pPr>
        <w:pStyle w:val="Heading2"/>
      </w:pPr>
      <w:r>
        <w:t>Conflicts and sensitive requests</w:t>
      </w:r>
    </w:p>
    <w:p>
      <w:pPr>
        <w:widowControl/>
      </w:pPr>
      <w:r>
        <w:t>If the assigned manager is the subject of a grievance, harassment report, or conflict of interest, the request must bypass that manager and route to HR, the skip-level manager, or the ethics owner. Sensitive reports must not be included in ordinary manager approval queues.</w:t>
      </w:r>
    </w:p>
    <w:p>
      <w:pPr>
        <w:pStyle w:val="Heading2"/>
      </w:pPr>
      <w:r>
        <w:t>Audit requirements</w:t>
      </w:r>
    </w:p>
    <w:p>
      <w:pPr>
        <w:widowControl/>
      </w:pPr>
      <w:r>
        <w:t>Every delegation or escalation must record the request, employee, previous approver, new approver, reason, timestamp, initiator, and outcome. Duplicate active escalations for the same request are prohibited.</w:t>
      </w:r>
    </w:p>
    <w:p>
      <w:r>
        <w:br w:type="page"/>
      </w:r>
    </w:p>
    <w:p>
      <w:pPr>
        <w:pStyle w:val="Heading1"/>
      </w:pPr>
      <w:r>
        <w:t>Workplace Operations, Security, and Employment Policy</w:t>
      </w:r>
    </w:p>
    <w:p>
      <w:pPr>
        <w:spacing w:after="40"/>
      </w:pPr>
      <w:r>
        <w:rPr>
          <w:color w:val="596069"/>
          <w:sz w:val="18"/>
        </w:rPr>
        <w:t>Category: Workplace Operations</w:t>
      </w:r>
    </w:p>
    <w:p>
      <w:pPr>
        <w:spacing w:after="40"/>
      </w:pPr>
      <w:r>
        <w:rPr>
          <w:color w:val="596069"/>
          <w:sz w:val="18"/>
        </w:rPr>
        <w:t>Version: 1.0-demo</w:t>
      </w:r>
    </w:p>
    <w:p>
      <w:pPr>
        <w:widowControl/>
      </w:pPr>
      <w:r>
        <w:t>This demonstration policy requires company, security, HR, and legal review before adoption.</w:t>
      </w:r>
    </w:p>
    <w:p>
      <w:pPr>
        <w:pStyle w:val="Heading2"/>
      </w:pPr>
      <w:r>
        <w:t>Remote and hybrid work</w:t>
      </w:r>
    </w:p>
    <w:p>
      <w:pPr>
        <w:widowControl/>
      </w:pPr>
      <w:r>
        <w:t>Remote or hybrid work arrangements require manager approval where applicable. Employees remain responsible for working hours, information security, attendance requirements, and a safe workspace. Temporary remote work due to an emergency should be discussed with the manager or HR.</w:t>
      </w:r>
    </w:p>
    <w:p>
      <w:pPr>
        <w:pStyle w:val="Heading2"/>
      </w:pPr>
      <w:r>
        <w:t>Information security and acceptable use</w:t>
      </w:r>
    </w:p>
    <w:p>
      <w:pPr>
        <w:widowControl/>
      </w:pPr>
      <w:r>
        <w:t>Employees must protect credentials, use approved systems, report suspected phishing or data loss, and avoid uploading confidential company or personal data to unapproved services. Access to HR records follows least-privilege and minimum-necessary principles.</w:t>
      </w:r>
    </w:p>
    <w:p>
      <w:pPr>
        <w:pStyle w:val="Heading2"/>
      </w:pPr>
      <w:r>
        <w:t>Data privacy</w:t>
      </w:r>
    </w:p>
    <w:p>
      <w:pPr>
        <w:widowControl/>
      </w:pPr>
      <w:r>
        <w:t>Personal data should be collected only for a defined HR purpose, accessed by authorized roles, retained according to company requirements, and corrected when inaccurate. The HR assistant should not reveal coworker attendance, leave reasons, medical information, salary, complaints, or performance records to unauthorized employees.</w:t>
      </w:r>
    </w:p>
    <w:p>
      <w:pPr>
        <w:pStyle w:val="Heading2"/>
      </w:pPr>
      <w:r>
        <w:t>Workplace safety</w:t>
      </w:r>
    </w:p>
    <w:p>
      <w:pPr>
        <w:widowControl/>
      </w:pPr>
      <w:r>
        <w:t>Employees should report unsafe conditions, injuries, threats, or security concerns promptly. Immediate danger should be directed to local emergency services or workplace security before internal workflow completion.</w:t>
      </w:r>
    </w:p>
    <w:p>
      <w:pPr>
        <w:pStyle w:val="Heading2"/>
      </w:pPr>
      <w:r>
        <w:t>Performance and discipline</w:t>
      </w:r>
    </w:p>
    <w:p>
      <w:pPr>
        <w:widowControl/>
      </w:pPr>
      <w:r>
        <w:t>Performance expectations should be communicated clearly and reviewed using documented evidence. Corrective action should be proportionate, consistent, and provide the employee an opportunity to respond. Harassment reports, protected leave, good-faith complaints, and approved accommodations must not be treated as performance misconduct.</w:t>
      </w:r>
    </w:p>
    <w:p>
      <w:pPr>
        <w:pStyle w:val="Heading2"/>
      </w:pPr>
      <w:r>
        <w:t>Separation and exit</w:t>
      </w:r>
    </w:p>
    <w:p>
      <w:pPr>
        <w:widowControl/>
      </w:pPr>
      <w:r>
        <w:t>Resignation, retirement, termination, notice, final payroll, benefits transition, return of assets, and access removal should follow the applicable employment agreement and local requirements. The assistant may explain the company process but must not provide a definitive legal interpretation.</w:t>
      </w:r>
    </w:p>
    <w:p>
      <w:r>
        <w:br w:type="page"/>
      </w:r>
    </w:p>
    <w:p>
      <w:pPr>
        <w:pStyle w:val="Heading1"/>
      </w:pPr>
      <w:r>
        <w:t>Governance Note</w:t>
      </w:r>
    </w:p>
    <w:p>
      <w:r>
        <w:t>Before production use, each policy must have an owner, effective date, review date, jurisdiction, approved reporting contacts, configured authority limits, and formal publication status. Superseded versions should be archived rather than overwritten so retrieval and audit history remain explainable.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06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6069"/>
        <w:sz w:val="18"/>
      </w:rPr>
      <w:t>Enterprise HR Policy Handbook |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HR Policy Handbook - Demonstration</dc:title>
  <dc:subject>RAG policy corpus for the HR Assistant project</dc:subject>
  <dc:creator>HR Assistant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