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12.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s">
            <w:drawing>
              <wp:anchor distT="635" distB="0" distL="0" distR="0" simplePos="0" relativeHeight="30" behindDoc="1" locked="0" layoutInCell="1" allowOverlap="1" wp14:anchorId="58B81FF8">
                <wp:simplePos x="0" y="0"/>
                <wp:positionH relativeFrom="column">
                  <wp:posOffset>-1202055</wp:posOffset>
                </wp:positionH>
                <wp:positionV relativeFrom="paragraph">
                  <wp:posOffset>140970</wp:posOffset>
                </wp:positionV>
                <wp:extent cx="7650480" cy="1152525"/>
                <wp:effectExtent l="0" t="635" r="0" b="0"/>
                <wp:wrapNone/>
                <wp:docPr id="1" name="Rectangle 3"/>
                <a:graphic xmlns:a="http://schemas.openxmlformats.org/drawingml/2006/main">
                  <a:graphicData uri="http://schemas.microsoft.com/office/word/2010/wordprocessingShape">
                    <wps:wsp>
                      <wps:cNvSpPr/>
                      <wps:spPr>
                        <a:xfrm>
                          <a:off x="0" y="0"/>
                          <a:ext cx="7650360" cy="1152360"/>
                        </a:xfrm>
                        <a:prstGeom prst="rect">
                          <a:avLst/>
                        </a:prstGeom>
                        <a:solidFill>
                          <a:srgbClr val="F2F2F2"/>
                        </a:solidFill>
                        <a:ln w="12700">
                          <a:noFill/>
                        </a:ln>
                      </wps:spPr>
                      <wps:style>
                        <a:lnRef idx="0"/>
                        <a:fillRef idx="0"/>
                        <a:effectRef idx="0"/>
                        <a:fontRef idx="minor"/>
                      </wps:style>
                      <wps:bodyPr/>
                    </wps:wsp>
                  </a:graphicData>
                </a:graphic>
              </wp:anchor>
            </w:drawing>
          </mc:Choice>
          <mc:Fallback>
            <w:pict>
              <v:rect id="shape_0" fillcolor="#f2f2f2" stroked="f" o:allowincell="f" style="position:absolute;margin-left:-94.65pt;margin-top:11.1pt;width:602.35pt;height:90.7pt;mso-wrap-style:none;v-text-anchor:middle" wp14:anchorId="58B81FF8">
                <v:fill o:detectmouseclick="t" type="solid" color2="#0d0d0d"/>
                <v:stroke color="#3465a4" weight="12600" joinstyle="round" endcap="flat"/>
                <w10:wrap type="none"/>
              </v:rect>
            </w:pict>
          </mc:Fallback>
        </mc:AlternateContent>
      </w:r>
    </w:p>
    <w:p>
      <w:pPr>
        <w:pStyle w:val="TituloApartado1"/>
        <w:rPr/>
      </w:pPr>
      <w:r>
        <w:rPr/>
        <w:t>Datos del estudiante</w:t>
      </w:r>
    </w:p>
    <w:p>
      <w:pPr>
        <w:pStyle w:val="Normal"/>
        <w:rPr/>
      </w:pPr>
      <w:r>
        <w:rPr>
          <w:b/>
          <w:bCs/>
        </w:rPr>
        <w:t>Nombre y apellidos</w:t>
      </w:r>
      <w:r>
        <w:rPr/>
        <w:tab/>
        <w:tab/>
        <w:t xml:space="preserve">Nombre y apellidos del estudiante </w:t>
      </w:r>
    </w:p>
    <w:p>
      <w:pPr>
        <w:pStyle w:val="Normal"/>
        <w:rPr>
          <w:rFonts w:ascii="Roboto" w:hAnsi="Roboto"/>
        </w:rPr>
      </w:pPr>
      <w:r>
        <w:rPr>
          <w:b/>
          <w:bCs/>
        </w:rPr>
        <w:t>Fecha de entrega</w:t>
      </w:r>
      <w:r>
        <w:rPr/>
        <w:tab/>
        <w:tab/>
        <w:t>00/00/0000</w:t>
      </w:r>
    </w:p>
    <w:p>
      <w:pPr>
        <w:pStyle w:val="Normal"/>
        <w:rPr>
          <w:rFonts w:ascii="Roboto" w:hAnsi="Roboto"/>
        </w:rPr>
      </w:pPr>
      <w:r>
        <w:rPr>
          <w:rFonts w:ascii="Roboto" w:hAnsi="Roboto"/>
        </w:rPr>
      </w:r>
    </w:p>
    <w:p>
      <w:pPr>
        <w:pStyle w:val="Normal"/>
        <w:rPr>
          <w:sz w:val="40"/>
          <w:szCs w:val="40"/>
        </w:rPr>
      </w:pPr>
      <w:r>
        <w:rPr>
          <w:sz w:val="40"/>
          <w:szCs w:val="40"/>
        </w:rPr>
        <w:t>Actividad 3 (grupal): Anotación e interpretación de variantes</w:t>
      </w:r>
    </w:p>
    <w:p>
      <w:pPr>
        <w:pStyle w:val="Normal"/>
        <w:rPr/>
      </w:pPr>
      <w:r>
        <w:rPr/>
      </w:r>
    </w:p>
    <w:p>
      <w:pPr>
        <w:pStyle w:val="TtuloApartado3"/>
        <w:rPr/>
      </w:pPr>
      <w:r>
        <w:rPr/>
        <w:t xml:space="preserve">Objetivos </w:t>
      </w:r>
    </w:p>
    <w:p>
      <w:pPr>
        <w:pStyle w:val="Normal"/>
        <w:rPr/>
      </w:pPr>
      <w:r>
        <w:rPr/>
      </w:r>
    </w:p>
    <w:p>
      <w:pPr>
        <w:pStyle w:val="Normal"/>
        <w:rPr/>
      </w:pPr>
      <w:r>
        <w:rPr/>
        <w:t>A partir de una muestra de raspado bucal de varios miembros de la familia Simpson y otros familiares (figura 1), se realiza un análisis de exoma completo en busca de las patologías hereditarias que pudieran padecer. El laboratorio envía los archivos .vcf y el genetista debe realizar la anotación de variantes para encontrar las mutaciones.</w:t>
      </w:r>
    </w:p>
    <w:p>
      <w:pPr>
        <w:pStyle w:val="Normal"/>
        <w:rPr/>
      </w:pPr>
      <w:r>
        <w:rPr/>
      </w:r>
    </w:p>
    <w:p>
      <w:pPr>
        <w:pStyle w:val="Normal"/>
        <w:jc w:val="center"/>
        <w:rPr/>
      </w:pPr>
      <w:r>
        <w:rPr/>
        <w:drawing>
          <wp:inline distT="0" distB="0" distL="0" distR="0">
            <wp:extent cx="3970020" cy="2133600"/>
            <wp:effectExtent l="0" t="0" r="0" b="0"/>
            <wp:docPr id="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4"/>
                    <pic:cNvPicPr>
                      <a:picLocks noChangeAspect="1" noChangeArrowheads="1"/>
                    </pic:cNvPicPr>
                  </pic:nvPicPr>
                  <pic:blipFill>
                    <a:blip r:embed="rId2"/>
                    <a:stretch>
                      <a:fillRect/>
                    </a:stretch>
                  </pic:blipFill>
                  <pic:spPr bwMode="auto">
                    <a:xfrm>
                      <a:off x="0" y="0"/>
                      <a:ext cx="3970020" cy="2133600"/>
                    </a:xfrm>
                    <a:prstGeom prst="rect">
                      <a:avLst/>
                    </a:prstGeom>
                    <a:noFill/>
                  </pic:spPr>
                </pic:pic>
              </a:graphicData>
            </a:graphic>
          </wp:inline>
        </w:drawing>
      </w:r>
    </w:p>
    <w:p>
      <w:pPr>
        <w:pStyle w:val="Piedefoto-tabla"/>
        <w:rPr/>
      </w:pPr>
      <w:r>
        <w:rPr/>
        <w:t>Figura 1. Familiares a los que se les ha realizado un exoma completo a partir de raspado bucal.</w:t>
      </w:r>
    </w:p>
    <w:p>
      <w:pPr>
        <w:pStyle w:val="Normal"/>
        <w:rPr/>
      </w:pPr>
      <w:r>
        <w:rPr/>
      </w:r>
    </w:p>
    <w:p>
      <w:pPr>
        <w:pStyle w:val="Normal"/>
        <w:rPr/>
      </w:pPr>
      <w:r>
        <w:rPr/>
        <w:t>Con esta actividad podréis en práctica los conocimientos adquiridos sobre cómo realizar una anotación de variantes a partir de unos archivos .vcf y cómo interpretarlos.</w:t>
      </w:r>
    </w:p>
    <w:p>
      <w:pPr>
        <w:pStyle w:val="Normal"/>
        <w:rPr/>
      </w:pPr>
      <w:r>
        <w:rPr/>
      </w:r>
    </w:p>
    <w:p>
      <w:pPr>
        <w:pStyle w:val="Normal"/>
        <w:rPr/>
      </w:pPr>
      <w:r>
        <w:rPr/>
      </w:r>
    </w:p>
    <w:p>
      <w:pPr>
        <w:pStyle w:val="TtuloApartado3"/>
        <w:rPr/>
      </w:pPr>
      <w:r>
        <w:rPr/>
        <w:t>Pautas de elaboración</w:t>
      </w:r>
    </w:p>
    <w:p>
      <w:pPr>
        <w:pStyle w:val="Normal"/>
        <w:rPr/>
      </w:pPr>
      <w:r>
        <w:rPr/>
      </w:r>
    </w:p>
    <w:p>
      <w:pPr>
        <w:pStyle w:val="Normal"/>
        <w:rPr/>
      </w:pPr>
      <w:r>
        <w:rPr/>
        <w:t>Los estudiantes estaréis distribuidos por grupos tal y como se habrá publicado en el foro de la asignatura. Observa el territorio y el equipo de tu grupo. Cada grupo tendréis que trabajar solamente con dos .vcf según la tabla 1.</w:t>
      </w:r>
    </w:p>
    <w:p>
      <w:pPr>
        <w:pStyle w:val="Normal"/>
        <w:rPr/>
      </w:pPr>
      <w:r>
        <w:rPr/>
      </w:r>
    </w:p>
    <w:p>
      <w:pPr>
        <w:pStyle w:val="Normal"/>
        <w:jc w:val="center"/>
        <w:rPr/>
      </w:pPr>
      <w:r>
        <w:rPr/>
        <w:drawing>
          <wp:inline distT="0" distB="0" distL="0" distR="0">
            <wp:extent cx="4373880" cy="2232660"/>
            <wp:effectExtent l="0" t="0" r="0" b="0"/>
            <wp:docPr id="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5"/>
                    <pic:cNvPicPr>
                      <a:picLocks noChangeAspect="1" noChangeArrowheads="1"/>
                    </pic:cNvPicPr>
                  </pic:nvPicPr>
                  <pic:blipFill>
                    <a:blip r:embed="rId3"/>
                    <a:stretch>
                      <a:fillRect/>
                    </a:stretch>
                  </pic:blipFill>
                  <pic:spPr bwMode="auto">
                    <a:xfrm>
                      <a:off x="0" y="0"/>
                      <a:ext cx="4373880" cy="2232660"/>
                    </a:xfrm>
                    <a:prstGeom prst="rect">
                      <a:avLst/>
                    </a:prstGeom>
                    <a:noFill/>
                  </pic:spPr>
                </pic:pic>
              </a:graphicData>
            </a:graphic>
          </wp:inline>
        </w:drawing>
      </w:r>
    </w:p>
    <w:p>
      <w:pPr>
        <w:pStyle w:val="Piedefoto-tabla"/>
        <w:rPr/>
      </w:pPr>
      <w:r>
        <w:rPr/>
        <w:t>Tabla 1. Archivos asignados por grupos de trabajo.</w:t>
      </w:r>
    </w:p>
    <w:p>
      <w:pPr>
        <w:pStyle w:val="Normal"/>
        <w:rPr/>
      </w:pPr>
      <w:r>
        <w:rPr/>
      </w:r>
    </w:p>
    <w:p>
      <w:pPr>
        <w:pStyle w:val="Normal"/>
        <w:rPr/>
      </w:pPr>
      <w:r>
        <w:rPr/>
        <w:t xml:space="preserve">A partir de los archivos .vcf deberéis anotar las variantes mediante </w:t>
      </w:r>
      <w:r>
        <w:rPr>
          <w:i/>
          <w:iCs/>
        </w:rPr>
        <w:t>Variant Effect Predictor</w:t>
      </w:r>
      <w:r>
        <w:rPr/>
        <w:t xml:space="preserve"> utilizando como referencia el ensamblado hg38.</w:t>
      </w:r>
    </w:p>
    <w:p>
      <w:pPr>
        <w:pStyle w:val="Normal"/>
        <w:rPr/>
      </w:pPr>
      <w:r>
        <w:rPr/>
      </w:r>
    </w:p>
    <w:p>
      <w:pPr>
        <w:pStyle w:val="Cuadroenlace"/>
        <w:rPr/>
      </w:pPr>
      <w:hyperlink r:id="rId4">
        <w:r>
          <w:rPr>
            <w:rStyle w:val="Hyperlink"/>
          </w:rPr>
          <w:t>https://www.ensembl.org/Tools/VEP</w:t>
        </w:r>
      </w:hyperlink>
    </w:p>
    <w:p>
      <w:pPr>
        <w:pStyle w:val="Normal"/>
        <w:rPr/>
      </w:pPr>
      <w:r>
        <w:rPr/>
      </w:r>
    </w:p>
    <w:p>
      <w:pPr>
        <w:pStyle w:val="Normal"/>
        <w:rPr/>
      </w:pPr>
      <w:r>
        <w:rPr/>
        <w:t>En primer lugar, cargamos en VEP el fichero vcf proporcionado junto al enunciado de la actividad y se selecciona Ensembl como base de datos para la anotación de variantes. Marca las casillas de la nomenclatura HGVS, Global Minor Allele Frequency del Proyecto 1000 Genomas y de GnomAD y las puntuaciones de las predicciones de SIFT y PolyPhen. Descarga el informe obtenido.</w:t>
      </w:r>
    </w:p>
    <w:p>
      <w:pPr>
        <w:pStyle w:val="Normal"/>
        <w:rPr/>
      </w:pPr>
      <w:r>
        <w:rPr/>
      </w:r>
    </w:p>
    <w:p>
      <w:pPr>
        <w:pStyle w:val="Normal"/>
        <w:rPr/>
      </w:pPr>
      <w:r>
        <w:rPr/>
        <w:t xml:space="preserve">A partir del informe de VEP y con ayuda de otras herramientas </w:t>
      </w:r>
      <w:r>
        <w:rPr>
          <w:i/>
          <w:iCs/>
        </w:rPr>
        <w:t>online</w:t>
      </w:r>
      <w:r>
        <w:rPr/>
        <w:t>, recaba la siguiente información:</w:t>
      </w:r>
    </w:p>
    <w:p>
      <w:pPr>
        <w:pStyle w:val="Normal"/>
        <w:rPr/>
      </w:pPr>
      <w:r>
        <w:rPr/>
      </w:r>
    </w:p>
    <w:p>
      <w:pPr>
        <w:pStyle w:val="Vietaprimernivel"/>
        <w:numPr>
          <w:ilvl w:val="0"/>
          <w:numId w:val="2"/>
        </w:numPr>
        <w:ind w:hanging="284" w:start="284"/>
        <w:rPr/>
      </w:pPr>
      <w:r>
        <w:rPr/>
        <w:t xml:space="preserve">El </w:t>
      </w:r>
      <w:r>
        <w:rPr>
          <w:b/>
          <w:bCs/>
        </w:rPr>
        <w:t>gen afectado</w:t>
      </w:r>
      <w:r>
        <w:rPr/>
        <w:t xml:space="preserve"> y las </w:t>
      </w:r>
      <w:r>
        <w:rPr>
          <w:b/>
          <w:bCs/>
        </w:rPr>
        <w:t>coordenadas</w:t>
      </w:r>
      <w:r>
        <w:rPr/>
        <w:t xml:space="preserve"> asociadas a la/s variante/s detectada/s según hg38.</w:t>
      </w:r>
    </w:p>
    <w:p>
      <w:pPr>
        <w:pStyle w:val="Vietaprimernivel"/>
        <w:numPr>
          <w:ilvl w:val="0"/>
          <w:numId w:val="0"/>
        </w:numPr>
        <w:ind w:hanging="0" w:start="0"/>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219700" cy="1412875"/>
            <wp:effectExtent l="0" t="0" r="0" b="0"/>
            <wp:wrapSquare wrapText="largest"/>
            <wp:docPr id="4"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1"/>
                    <pic:cNvPicPr>
                      <a:picLocks noChangeAspect="1" noChangeArrowheads="1"/>
                    </pic:cNvPicPr>
                  </pic:nvPicPr>
                  <pic:blipFill>
                    <a:blip r:embed="rId5"/>
                    <a:stretch>
                      <a:fillRect/>
                    </a:stretch>
                  </pic:blipFill>
                  <pic:spPr bwMode="auto">
                    <a:xfrm>
                      <a:off x="0" y="0"/>
                      <a:ext cx="5219700" cy="1412875"/>
                    </a:xfrm>
                    <a:prstGeom prst="rect">
                      <a:avLst/>
                    </a:prstGeom>
                    <a:noFill/>
                  </pic:spPr>
                </pic:pic>
              </a:graphicData>
            </a:graphic>
          </wp:anchor>
        </w:drawing>
      </w:r>
    </w:p>
    <w:p>
      <w:pPr>
        <w:pStyle w:val="Vietaprimernivel"/>
        <w:numPr>
          <w:ilvl w:val="0"/>
          <w:numId w:val="0"/>
        </w:numPr>
        <w:ind w:hanging="0" w:start="0"/>
        <w:rPr/>
      </w:pPr>
      <w:r>
        <w:rPr/>
      </w:r>
    </w:p>
    <w:p>
      <w:pPr>
        <w:pStyle w:val="Vietaprimernivel"/>
        <w:numPr>
          <w:ilvl w:val="0"/>
          <w:numId w:val="2"/>
        </w:numPr>
        <w:ind w:hanging="284" w:start="284"/>
        <w:rPr/>
      </w:pPr>
      <w:r>
        <w:rPr>
          <w:b/>
          <w:bCs/>
        </w:rPr>
        <w:t xml:space="preserve">La nomenclatura de la variante en c. </w:t>
      </w:r>
      <w:r>
        <w:rPr/>
        <w:t xml:space="preserve">(indicando el </w:t>
      </w:r>
      <w:r>
        <w:rPr>
          <w:b/>
          <w:bCs/>
        </w:rPr>
        <w:t>número del transcrito</w:t>
      </w:r>
      <w:r>
        <w:rPr/>
        <w:t xml:space="preserve"> del NCBI o de Ensembl),</w:t>
      </w:r>
      <w:r>
        <w:rPr>
          <w:b/>
          <w:bCs/>
        </w:rPr>
        <w:t xml:space="preserve"> tipo</w:t>
      </w:r>
      <w:r>
        <w:rPr/>
        <w:t xml:space="preserve"> de </w:t>
      </w:r>
      <w:r>
        <w:rPr>
          <w:b/>
          <w:bCs/>
        </w:rPr>
        <w:t>variante</w:t>
      </w:r>
      <w:r>
        <w:rPr/>
        <w:t xml:space="preserve"> identificada (SNP, deleción, inserción o </w:t>
      </w:r>
      <w:r>
        <w:rPr>
          <w:i/>
          <w:iCs/>
        </w:rPr>
        <w:t>indel</w:t>
      </w:r>
      <w:r>
        <w:rPr/>
        <w:t xml:space="preserve">) y si el individuo es </w:t>
      </w:r>
      <w:r>
        <w:rPr>
          <w:b/>
          <w:bCs/>
        </w:rPr>
        <w:t>homocigoto,</w:t>
      </w:r>
      <w:r>
        <w:rPr/>
        <w:t xml:space="preserve"> </w:t>
      </w:r>
      <w:r>
        <w:rPr>
          <w:b/>
          <w:bCs/>
        </w:rPr>
        <w:t xml:space="preserve">heterocigoto o hemicigoto. </w:t>
      </w:r>
      <w:r>
        <w:rPr/>
        <w:t>Además, debéis indicar la</w:t>
      </w:r>
      <w:r>
        <w:rPr>
          <w:b/>
          <w:bCs/>
        </w:rPr>
        <w:t xml:space="preserve"> frecuencia alélica </w:t>
      </w:r>
      <w:r>
        <w:rPr/>
        <w:t xml:space="preserve">de las variantes en la población en general (según gnomAD y Proyecto 1000 Genomas) y si se tratan de </w:t>
      </w:r>
      <w:r>
        <w:rPr>
          <w:b/>
          <w:bCs/>
        </w:rPr>
        <w:t>mutaciones o polimorfismos</w:t>
      </w:r>
      <w:r>
        <w:rPr/>
        <w:t>.</w:t>
      </w:r>
    </w:p>
    <w:p>
      <w:pPr>
        <w:pStyle w:val="Vietaprimernivel"/>
        <w:numPr>
          <w:ilvl w:val="0"/>
          <w:numId w:val="0"/>
        </w:numPr>
        <w:ind w:hanging="0" w:start="0"/>
        <w:rPr/>
      </w:pPr>
      <w:r>
        <w:rPr/>
        <w:drawing>
          <wp:anchor distT="0" distB="0" distL="0" distR="0" simplePos="0" relativeHeight="32" behindDoc="0" locked="0" layoutInCell="0" allowOverlap="1">
            <wp:simplePos x="0" y="0"/>
            <wp:positionH relativeFrom="column">
              <wp:align>center</wp:align>
            </wp:positionH>
            <wp:positionV relativeFrom="paragraph">
              <wp:posOffset>635</wp:posOffset>
            </wp:positionV>
            <wp:extent cx="5219700" cy="1755775"/>
            <wp:effectExtent l="0" t="0" r="0" b="0"/>
            <wp:wrapSquare wrapText="largest"/>
            <wp:docPr id="5"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2"/>
                    <pic:cNvPicPr>
                      <a:picLocks noChangeAspect="1" noChangeArrowheads="1"/>
                    </pic:cNvPicPr>
                  </pic:nvPicPr>
                  <pic:blipFill>
                    <a:blip r:embed="rId6"/>
                    <a:stretch>
                      <a:fillRect/>
                    </a:stretch>
                  </pic:blipFill>
                  <pic:spPr bwMode="auto">
                    <a:xfrm>
                      <a:off x="0" y="0"/>
                      <a:ext cx="5219700" cy="1755775"/>
                    </a:xfrm>
                    <a:prstGeom prst="rect">
                      <a:avLst/>
                    </a:prstGeom>
                    <a:noFill/>
                  </pic:spPr>
                </pic:pic>
              </a:graphicData>
            </a:graphic>
          </wp:anchor>
        </w:drawing>
      </w:r>
    </w:p>
    <w:p>
      <w:pPr>
        <w:pStyle w:val="Normal"/>
        <w:rPr/>
      </w:pPr>
      <w:r>
        <w:rPr/>
      </w:r>
    </w:p>
    <w:p>
      <w:pPr>
        <w:pStyle w:val="Vietaprimernivel"/>
        <w:numPr>
          <w:ilvl w:val="0"/>
          <w:numId w:val="2"/>
        </w:numPr>
        <w:ind w:hanging="284" w:start="284"/>
        <w:rPr/>
      </w:pPr>
      <w:r>
        <w:rPr>
          <w:b/>
          <w:bCs/>
        </w:rPr>
        <w:t xml:space="preserve">Proteína que codifica </w:t>
      </w:r>
      <w:r>
        <w:rPr/>
        <w:t xml:space="preserve">dicho gen, </w:t>
      </w:r>
      <w:r>
        <w:rPr>
          <w:b/>
          <w:bCs/>
        </w:rPr>
        <w:t>ID</w:t>
      </w:r>
      <w:r>
        <w:rPr/>
        <w:t xml:space="preserve"> de la proteína (según NCBI o Ensembl), la </w:t>
      </w:r>
      <w:r>
        <w:rPr>
          <w:b/>
          <w:bCs/>
        </w:rPr>
        <w:t>nomenclatura de la variante en p.</w:t>
      </w:r>
      <w:r>
        <w:rPr/>
        <w:t xml:space="preserve"> (indicando el identificador de la proteína según NCBI o Ensembl) y el</w:t>
      </w:r>
      <w:r>
        <w:rPr>
          <w:b/>
          <w:bCs/>
        </w:rPr>
        <w:t xml:space="preserve"> efecto</w:t>
      </w:r>
      <w:r>
        <w:rPr/>
        <w:t xml:space="preserve"> </w:t>
      </w:r>
      <w:r>
        <w:rPr>
          <w:b/>
          <w:bCs/>
        </w:rPr>
        <w:t>de la variante en la proteína</w:t>
      </w:r>
      <w:r>
        <w:rPr/>
        <w:t xml:space="preserve"> (mutación sinónima, sin sentido, etc.).</w:t>
      </w:r>
    </w:p>
    <w:p>
      <w:pPr>
        <w:pStyle w:val="Vietaprimernivel"/>
        <w:numPr>
          <w:ilvl w:val="0"/>
          <w:numId w:val="0"/>
        </w:numPr>
        <w:ind w:hanging="0" w:start="0"/>
        <w:rPr/>
      </w:pPr>
      <w:r>
        <w:rPr/>
      </w:r>
    </w:p>
    <w:p>
      <w:pPr>
        <w:pStyle w:val="Vietaprimernivel"/>
        <w:numPr>
          <w:ilvl w:val="0"/>
          <w:numId w:val="0"/>
        </w:numPr>
        <w:ind w:hanging="0" w:start="0"/>
        <w:rPr/>
      </w:pPr>
      <w:r>
        <w:rPr/>
      </w:r>
    </w:p>
    <w:p>
      <w:pPr>
        <w:pStyle w:val="Vietaprimernivel"/>
        <w:numPr>
          <w:ilvl w:val="0"/>
          <w:numId w:val="0"/>
        </w:numPr>
        <w:spacing w:before="0" w:after="0"/>
        <w:ind w:hanging="0" w:start="0"/>
        <w:rPr/>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843" w:right="1843" w:gutter="0" w:header="680" w:top="1418" w:footer="510" w:bottom="1418"/>
          <w:pgNumType w:fmt="decimal"/>
          <w:formProt w:val="false"/>
          <w:textDirection w:val="lrTb"/>
          <w:docGrid w:type="default" w:linePitch="360" w:charSpace="0"/>
        </w:sectPr>
      </w:pPr>
      <w:r>
        <w:rPr/>
      </w:r>
    </w:p>
    <w:p>
      <w:pPr>
        <w:pStyle w:val="Vietaprimernivel"/>
        <w:numPr>
          <w:ilvl w:val="0"/>
          <w:numId w:val="0"/>
        </w:numPr>
        <w:ind w:hanging="0" w:start="0"/>
        <w:rPr/>
      </w:pPr>
      <w:r>
        <w:rPr/>
      </w:r>
    </w:p>
    <w:tbl>
      <w:tblPr>
        <w:tblW w:w="14544" w:type="dxa"/>
        <w:jc w:val="start"/>
        <w:tblInd w:w="-5" w:type="dxa"/>
        <w:tblLayout w:type="fixed"/>
        <w:tblCellMar>
          <w:top w:w="55" w:type="dxa"/>
          <w:start w:w="55" w:type="dxa"/>
          <w:bottom w:w="55" w:type="dxa"/>
          <w:end w:w="55" w:type="dxa"/>
        </w:tblCellMar>
      </w:tblPr>
      <w:tblGrid>
        <w:gridCol w:w="684"/>
        <w:gridCol w:w="624"/>
        <w:gridCol w:w="1524"/>
        <w:gridCol w:w="1200"/>
        <w:gridCol w:w="1092"/>
        <w:gridCol w:w="2783"/>
        <w:gridCol w:w="1681"/>
        <w:gridCol w:w="4956"/>
      </w:tblGrid>
      <w:tr>
        <w:trPr/>
        <w:tc>
          <w:tcPr>
            <w:tcW w:w="684" w:type="dxa"/>
            <w:tcBorders>
              <w:top w:val="single" w:sz="4" w:space="0" w:color="000000"/>
              <w:start w:val="single" w:sz="4" w:space="0" w:color="000000"/>
              <w:bottom w:val="single" w:sz="4" w:space="0" w:color="000000"/>
            </w:tcBorders>
            <w:vAlign w:val="center"/>
          </w:tcPr>
          <w:p>
            <w:pPr>
              <w:pStyle w:val="Contenidodelatablauser"/>
              <w:jc w:val="center"/>
              <w:rPr/>
            </w:pPr>
            <w:r>
              <w:rPr/>
            </w:r>
          </w:p>
        </w:tc>
        <w:tc>
          <w:tcPr>
            <w:tcW w:w="624" w:type="dxa"/>
            <w:tcBorders>
              <w:top w:val="single" w:sz="4" w:space="0" w:color="000000"/>
              <w:start w:val="single" w:sz="4" w:space="0" w:color="000000"/>
              <w:bottom w:val="single" w:sz="4" w:space="0" w:color="000000"/>
            </w:tcBorders>
            <w:vAlign w:val="center"/>
          </w:tcPr>
          <w:p>
            <w:pPr>
              <w:pStyle w:val="Contenidodelatablauser"/>
              <w:jc w:val="center"/>
              <w:rPr/>
            </w:pPr>
            <w:r>
              <w:rPr/>
              <w:t>Gen</w:t>
            </w:r>
          </w:p>
        </w:tc>
        <w:tc>
          <w:tcPr>
            <w:tcW w:w="1524" w:type="dxa"/>
            <w:tcBorders>
              <w:top w:val="single" w:sz="4" w:space="0" w:color="000000"/>
              <w:start w:val="single" w:sz="4" w:space="0" w:color="000000"/>
              <w:bottom w:val="single" w:sz="4" w:space="0" w:color="000000"/>
            </w:tcBorders>
            <w:vAlign w:val="center"/>
          </w:tcPr>
          <w:p>
            <w:pPr>
              <w:pStyle w:val="Contenidodelatablauser"/>
              <w:jc w:val="center"/>
              <w:rPr/>
            </w:pPr>
            <w:r>
              <w:rPr/>
              <w:t>Proteína</w:t>
            </w:r>
          </w:p>
        </w:tc>
        <w:tc>
          <w:tcPr>
            <w:tcW w:w="1200" w:type="dxa"/>
            <w:tcBorders>
              <w:top w:val="single" w:sz="4" w:space="0" w:color="000000"/>
              <w:start w:val="single" w:sz="4" w:space="0" w:color="000000"/>
              <w:bottom w:val="single" w:sz="4" w:space="0" w:color="000000"/>
            </w:tcBorders>
            <w:vAlign w:val="center"/>
          </w:tcPr>
          <w:p>
            <w:pPr>
              <w:pStyle w:val="Contenidodelatablauser"/>
              <w:jc w:val="center"/>
              <w:rPr/>
            </w:pPr>
            <w:r>
              <w:rPr/>
              <w:t>ID Proteína</w:t>
            </w:r>
          </w:p>
        </w:tc>
        <w:tc>
          <w:tcPr>
            <w:tcW w:w="1092" w:type="dxa"/>
            <w:tcBorders>
              <w:top w:val="single" w:sz="4" w:space="0" w:color="000000"/>
              <w:start w:val="single" w:sz="4" w:space="0" w:color="000000"/>
              <w:bottom w:val="single" w:sz="4" w:space="0" w:color="000000"/>
            </w:tcBorders>
            <w:vAlign w:val="center"/>
          </w:tcPr>
          <w:p>
            <w:pPr>
              <w:pStyle w:val="Contenidodelatablauser"/>
              <w:jc w:val="center"/>
              <w:rPr/>
            </w:pPr>
            <w:r>
              <w:rPr/>
              <w:t>Variante p.</w:t>
            </w:r>
          </w:p>
        </w:tc>
        <w:tc>
          <w:tcPr>
            <w:tcW w:w="2783" w:type="dxa"/>
            <w:tcBorders>
              <w:top w:val="single" w:sz="4" w:space="0" w:color="000000"/>
              <w:start w:val="single" w:sz="4" w:space="0" w:color="000000"/>
              <w:bottom w:val="single" w:sz="4" w:space="0" w:color="000000"/>
            </w:tcBorders>
            <w:vAlign w:val="center"/>
          </w:tcPr>
          <w:p>
            <w:pPr>
              <w:pStyle w:val="Contenidodelatablauser"/>
              <w:jc w:val="center"/>
              <w:rPr/>
            </w:pPr>
            <w:r>
              <w:rPr/>
              <w:t xml:space="preserve">Efecto en proteína </w:t>
            </w:r>
          </w:p>
        </w:tc>
        <w:tc>
          <w:tcPr>
            <w:tcW w:w="1681" w:type="dxa"/>
            <w:tcBorders>
              <w:top w:val="single" w:sz="4" w:space="0" w:color="000000"/>
              <w:start w:val="single" w:sz="4" w:space="0" w:color="000000"/>
              <w:bottom w:val="single" w:sz="4" w:space="0" w:color="000000"/>
            </w:tcBorders>
            <w:vAlign w:val="center"/>
          </w:tcPr>
          <w:p>
            <w:pPr>
              <w:pStyle w:val="Contenidodelatablauser"/>
              <w:jc w:val="center"/>
              <w:rPr/>
            </w:pPr>
            <w:r>
              <w:rPr/>
              <w:t>Predicción</w:t>
            </w:r>
          </w:p>
        </w:tc>
        <w:tc>
          <w:tcPr>
            <w:tcW w:w="4956" w:type="dxa"/>
            <w:tcBorders>
              <w:top w:val="single" w:sz="4" w:space="0" w:color="000000"/>
              <w:start w:val="single" w:sz="4" w:space="0" w:color="000000"/>
              <w:bottom w:val="single" w:sz="4" w:space="0" w:color="000000"/>
              <w:end w:val="single" w:sz="4" w:space="0" w:color="000000"/>
            </w:tcBorders>
            <w:vAlign w:val="center"/>
          </w:tcPr>
          <w:p>
            <w:pPr>
              <w:pStyle w:val="Contenidodelatablauser"/>
              <w:jc w:val="center"/>
              <w:rPr/>
            </w:pPr>
            <w:r>
              <w:rPr/>
              <w:t xml:space="preserve">Interpretación </w:t>
            </w:r>
          </w:p>
        </w:tc>
      </w:tr>
      <w:tr>
        <w:trPr/>
        <w:tc>
          <w:tcPr>
            <w:tcW w:w="684" w:type="dxa"/>
            <w:tcBorders>
              <w:start w:val="single" w:sz="4" w:space="0" w:color="000000"/>
              <w:bottom w:val="single" w:sz="4" w:space="0" w:color="000000"/>
            </w:tcBorders>
            <w:vAlign w:val="center"/>
          </w:tcPr>
          <w:p>
            <w:pPr>
              <w:pStyle w:val="Contenidodelatablauser"/>
              <w:jc w:val="center"/>
              <w:rPr/>
            </w:pPr>
            <w:r>
              <w:rPr/>
              <w:t xml:space="preserve"> </w:t>
            </w:r>
            <w:r>
              <w:rPr/>
              <w:t>Bart</w:t>
            </w:r>
          </w:p>
        </w:tc>
        <w:tc>
          <w:tcPr>
            <w:tcW w:w="624" w:type="dxa"/>
            <w:tcBorders>
              <w:start w:val="single" w:sz="4" w:space="0" w:color="000000"/>
              <w:bottom w:val="single" w:sz="4" w:space="0" w:color="000000"/>
            </w:tcBorders>
            <w:vAlign w:val="center"/>
          </w:tcPr>
          <w:p>
            <w:pPr>
              <w:pStyle w:val="Contenidodelatablauser"/>
              <w:jc w:val="center"/>
              <w:rPr/>
            </w:pPr>
            <w:r>
              <w:rPr/>
              <w:t>LEPR</w:t>
            </w:r>
          </w:p>
        </w:tc>
        <w:tc>
          <w:tcPr>
            <w:tcW w:w="1524" w:type="dxa"/>
            <w:tcBorders>
              <w:start w:val="single" w:sz="4" w:space="0" w:color="000000"/>
              <w:bottom w:val="single" w:sz="4" w:space="0" w:color="000000"/>
            </w:tcBorders>
            <w:vAlign w:val="center"/>
          </w:tcPr>
          <w:p>
            <w:pPr>
              <w:pStyle w:val="Contenidodelatablauser"/>
              <w:jc w:val="center"/>
              <w:rPr/>
            </w:pPr>
            <w:r>
              <w:rPr/>
              <w:t>Leptin receptor</w:t>
            </w:r>
          </w:p>
        </w:tc>
        <w:tc>
          <w:tcPr>
            <w:tcW w:w="1200" w:type="dxa"/>
            <w:tcBorders>
              <w:start w:val="single" w:sz="4" w:space="0" w:color="000000"/>
              <w:bottom w:val="single" w:sz="4" w:space="0" w:color="000000"/>
            </w:tcBorders>
            <w:vAlign w:val="center"/>
          </w:tcPr>
          <w:p>
            <w:pPr>
              <w:pStyle w:val="Contenidodelatablauser"/>
              <w:jc w:val="center"/>
              <w:rPr/>
            </w:pPr>
            <w:r>
              <w:rPr/>
              <w:t>ENSP00000330393 (Ensembl)</w:t>
            </w:r>
          </w:p>
        </w:tc>
        <w:tc>
          <w:tcPr>
            <w:tcW w:w="1092" w:type="dxa"/>
            <w:tcBorders>
              <w:start w:val="single" w:sz="4" w:space="0" w:color="000000"/>
              <w:bottom w:val="single" w:sz="4" w:space="0" w:color="000000"/>
            </w:tcBorders>
            <w:vAlign w:val="center"/>
          </w:tcPr>
          <w:p>
            <w:pPr>
              <w:pStyle w:val="Contenidodelatablauser"/>
              <w:jc w:val="center"/>
              <w:rPr/>
            </w:pPr>
            <w:r>
              <w:rPr/>
              <w:t xml:space="preserve">p.Ser597IlefsTer20 </w:t>
            </w:r>
          </w:p>
        </w:tc>
        <w:tc>
          <w:tcPr>
            <w:tcW w:w="2783" w:type="dxa"/>
            <w:tcBorders>
              <w:start w:val="single" w:sz="4" w:space="0" w:color="000000"/>
              <w:bottom w:val="single" w:sz="4" w:space="0" w:color="000000"/>
            </w:tcBorders>
            <w:vAlign w:val="center"/>
          </w:tcPr>
          <w:p>
            <w:pPr>
              <w:pStyle w:val="Contenidodelatablauser"/>
              <w:jc w:val="center"/>
              <w:rPr/>
            </w:pPr>
            <w:r>
              <w:rPr/>
              <w:t>Frameshift con generación de un codón de terminación prematuro 20 aa después, lo que produce una proteína truncada y probablemnte no funcional</w:t>
            </w:r>
          </w:p>
        </w:tc>
        <w:tc>
          <w:tcPr>
            <w:tcW w:w="1681" w:type="dxa"/>
            <w:tcBorders>
              <w:start w:val="single" w:sz="4" w:space="0" w:color="000000"/>
              <w:bottom w:val="single" w:sz="4" w:space="0" w:color="000000"/>
            </w:tcBorders>
            <w:vAlign w:val="center"/>
          </w:tcPr>
          <w:p>
            <w:pPr>
              <w:pStyle w:val="Contenidodelatablauser"/>
              <w:jc w:val="center"/>
              <w:rPr/>
            </w:pPr>
            <w:r>
              <w:rPr/>
              <w:t>-</w:t>
            </w:r>
          </w:p>
        </w:tc>
        <w:tc>
          <w:tcPr>
            <w:tcW w:w="4956" w:type="dxa"/>
            <w:tcBorders>
              <w:start w:val="single" w:sz="4" w:space="0" w:color="000000"/>
              <w:bottom w:val="single" w:sz="4" w:space="0" w:color="000000"/>
              <w:end w:val="single" w:sz="4" w:space="0" w:color="000000"/>
            </w:tcBorders>
            <w:vAlign w:val="center"/>
          </w:tcPr>
          <w:p>
            <w:pPr>
              <w:pStyle w:val="Contenidodelatablauser"/>
              <w:jc w:val="center"/>
              <w:rPr/>
            </w:pPr>
            <w:r>
              <w:rPr/>
              <w:t>Podría perderse la función del receptor de leptina debido a la producción de una proteína truncada</w:t>
            </w:r>
          </w:p>
        </w:tc>
      </w:tr>
      <w:tr>
        <w:trPr/>
        <w:tc>
          <w:tcPr>
            <w:tcW w:w="684" w:type="dxa"/>
            <w:tcBorders>
              <w:start w:val="single" w:sz="4" w:space="0" w:color="000000"/>
              <w:bottom w:val="single" w:sz="4" w:space="0" w:color="000000"/>
            </w:tcBorders>
            <w:vAlign w:val="center"/>
          </w:tcPr>
          <w:p>
            <w:pPr>
              <w:pStyle w:val="Contenidodelatablauser"/>
              <w:jc w:val="center"/>
              <w:rPr/>
            </w:pPr>
            <w:r>
              <w:rPr/>
              <w:t xml:space="preserve"> </w:t>
            </w:r>
            <w:r>
              <w:rPr/>
              <w:t>Bart</w:t>
            </w:r>
          </w:p>
        </w:tc>
        <w:tc>
          <w:tcPr>
            <w:tcW w:w="624" w:type="dxa"/>
            <w:tcBorders>
              <w:start w:val="single" w:sz="4" w:space="0" w:color="000000"/>
              <w:bottom w:val="single" w:sz="4" w:space="0" w:color="000000"/>
            </w:tcBorders>
            <w:vAlign w:val="center"/>
          </w:tcPr>
          <w:p>
            <w:pPr>
              <w:pStyle w:val="Contenidodelatablauser"/>
              <w:jc w:val="center"/>
              <w:rPr/>
            </w:pPr>
            <w:r>
              <w:rPr/>
              <w:t>TP53</w:t>
            </w:r>
          </w:p>
        </w:tc>
        <w:tc>
          <w:tcPr>
            <w:tcW w:w="1524" w:type="dxa"/>
            <w:tcBorders>
              <w:start w:val="single" w:sz="4" w:space="0" w:color="000000"/>
              <w:bottom w:val="single" w:sz="4" w:space="0" w:color="000000"/>
            </w:tcBorders>
            <w:vAlign w:val="center"/>
          </w:tcPr>
          <w:p>
            <w:pPr>
              <w:pStyle w:val="Contenidodelatablauser"/>
              <w:jc w:val="center"/>
              <w:rPr/>
            </w:pPr>
            <w:r>
              <w:rPr/>
              <w:t>Tumor protein p53</w:t>
            </w:r>
          </w:p>
        </w:tc>
        <w:tc>
          <w:tcPr>
            <w:tcW w:w="1200" w:type="dxa"/>
            <w:tcBorders>
              <w:start w:val="single" w:sz="4" w:space="0" w:color="000000"/>
              <w:bottom w:val="single" w:sz="4" w:space="0" w:color="000000"/>
            </w:tcBorders>
            <w:vAlign w:val="center"/>
          </w:tcPr>
          <w:p>
            <w:pPr>
              <w:pStyle w:val="Contenidodelatablauser"/>
              <w:jc w:val="center"/>
              <w:rPr/>
            </w:pPr>
            <w:r>
              <w:rPr/>
              <w:t xml:space="preserve">ENSP00000269305 (Ensembl) </w:t>
            </w:r>
          </w:p>
        </w:tc>
        <w:tc>
          <w:tcPr>
            <w:tcW w:w="1092" w:type="dxa"/>
            <w:tcBorders>
              <w:start w:val="single" w:sz="4" w:space="0" w:color="000000"/>
              <w:bottom w:val="single" w:sz="4" w:space="0" w:color="000000"/>
            </w:tcBorders>
            <w:vAlign w:val="center"/>
          </w:tcPr>
          <w:p>
            <w:pPr>
              <w:pStyle w:val="Contenidodelatablauser"/>
              <w:jc w:val="center"/>
              <w:rPr/>
            </w:pPr>
            <w:r>
              <w:rPr/>
              <w:t>p.Pro72Leu</w:t>
            </w:r>
          </w:p>
        </w:tc>
        <w:tc>
          <w:tcPr>
            <w:tcW w:w="2783" w:type="dxa"/>
            <w:tcBorders>
              <w:start w:val="single" w:sz="4" w:space="0" w:color="000000"/>
              <w:bottom w:val="single" w:sz="4" w:space="0" w:color="000000"/>
            </w:tcBorders>
            <w:vAlign w:val="center"/>
          </w:tcPr>
          <w:p>
            <w:pPr>
              <w:pStyle w:val="Contenidodelatablauser"/>
              <w:jc w:val="center"/>
              <w:rPr/>
            </w:pPr>
            <w:r>
              <w:rPr/>
              <w:t>Sustitución de Prolina por Leucina en la posición 72 (Missense)</w:t>
            </w:r>
          </w:p>
        </w:tc>
        <w:tc>
          <w:tcPr>
            <w:tcW w:w="1681" w:type="dxa"/>
            <w:tcBorders>
              <w:start w:val="single" w:sz="4" w:space="0" w:color="000000"/>
              <w:bottom w:val="single" w:sz="4" w:space="0" w:color="000000"/>
            </w:tcBorders>
            <w:vAlign w:val="center"/>
          </w:tcPr>
          <w:p>
            <w:pPr>
              <w:pStyle w:val="Contenidodelatablauser"/>
              <w:jc w:val="center"/>
              <w:rPr/>
            </w:pPr>
            <w:r>
              <w:rPr/>
              <w:t>SIFT: Tolerable (0,13) ; Polyphen: Benigna (0,003)</w:t>
            </w:r>
          </w:p>
        </w:tc>
        <w:tc>
          <w:tcPr>
            <w:tcW w:w="4956" w:type="dxa"/>
            <w:tcBorders>
              <w:start w:val="single" w:sz="4" w:space="0" w:color="000000"/>
              <w:bottom w:val="single" w:sz="4" w:space="0" w:color="000000"/>
              <w:end w:val="single" w:sz="4" w:space="0" w:color="000000"/>
            </w:tcBorders>
            <w:vAlign w:val="center"/>
          </w:tcPr>
          <w:p>
            <w:pPr>
              <w:pStyle w:val="Contenidodelatablauser"/>
              <w:jc w:val="center"/>
              <w:rPr/>
            </w:pPr>
            <w:r>
              <w:rPr/>
              <w:t>Las predicciones sugieren un efecto funcional limitado de la variante sobre la protéina p53</w:t>
            </w:r>
          </w:p>
        </w:tc>
      </w:tr>
      <w:tr>
        <w:trPr/>
        <w:tc>
          <w:tcPr>
            <w:tcW w:w="684" w:type="dxa"/>
            <w:tcBorders>
              <w:start w:val="single" w:sz="4" w:space="0" w:color="000000"/>
              <w:bottom w:val="single" w:sz="4" w:space="0" w:color="000000"/>
            </w:tcBorders>
            <w:vAlign w:val="center"/>
          </w:tcPr>
          <w:p>
            <w:pPr>
              <w:pStyle w:val="Contenidodelatablauser"/>
              <w:jc w:val="center"/>
              <w:rPr/>
            </w:pPr>
            <w:r>
              <w:rPr/>
              <w:t>Patty</w:t>
            </w:r>
          </w:p>
        </w:tc>
        <w:tc>
          <w:tcPr>
            <w:tcW w:w="624" w:type="dxa"/>
            <w:tcBorders>
              <w:start w:val="single" w:sz="4" w:space="0" w:color="000000"/>
              <w:bottom w:val="single" w:sz="4" w:space="0" w:color="000000"/>
            </w:tcBorders>
            <w:vAlign w:val="center"/>
          </w:tcPr>
          <w:p>
            <w:pPr>
              <w:pStyle w:val="Contenidodelatablauser"/>
              <w:jc w:val="center"/>
              <w:rPr/>
            </w:pPr>
            <w:r>
              <w:rPr/>
              <w:t>LEPR</w:t>
            </w:r>
          </w:p>
        </w:tc>
        <w:tc>
          <w:tcPr>
            <w:tcW w:w="1524" w:type="dxa"/>
            <w:tcBorders>
              <w:start w:val="single" w:sz="4" w:space="0" w:color="000000"/>
              <w:bottom w:val="single" w:sz="4" w:space="0" w:color="000000"/>
            </w:tcBorders>
            <w:vAlign w:val="center"/>
          </w:tcPr>
          <w:p>
            <w:pPr>
              <w:pStyle w:val="Contenidodelatablauser"/>
              <w:jc w:val="center"/>
              <w:rPr/>
            </w:pPr>
            <w:r>
              <w:rPr/>
              <w:t>Leptin receptor</w:t>
            </w:r>
          </w:p>
        </w:tc>
        <w:tc>
          <w:tcPr>
            <w:tcW w:w="1200" w:type="dxa"/>
            <w:tcBorders>
              <w:start w:val="single" w:sz="4" w:space="0" w:color="000000"/>
              <w:bottom w:val="single" w:sz="4" w:space="0" w:color="000000"/>
            </w:tcBorders>
            <w:vAlign w:val="center"/>
          </w:tcPr>
          <w:p>
            <w:pPr>
              <w:pStyle w:val="Contenidodelatablauser"/>
              <w:jc w:val="center"/>
              <w:rPr/>
            </w:pPr>
            <w:r>
              <w:rPr/>
              <w:t>ENSP00000330393 (Ensembl)</w:t>
            </w:r>
          </w:p>
        </w:tc>
        <w:tc>
          <w:tcPr>
            <w:tcW w:w="1092" w:type="dxa"/>
            <w:tcBorders>
              <w:start w:val="single" w:sz="4" w:space="0" w:color="000000"/>
              <w:bottom w:val="single" w:sz="4" w:space="0" w:color="000000"/>
            </w:tcBorders>
            <w:vAlign w:val="center"/>
          </w:tcPr>
          <w:p>
            <w:pPr>
              <w:pStyle w:val="Contenidodelatablauser"/>
              <w:jc w:val="center"/>
              <w:rPr/>
            </w:pPr>
            <w:r>
              <w:rPr/>
              <w:t xml:space="preserve">p.Ser597IlefsTer20 </w:t>
            </w:r>
          </w:p>
        </w:tc>
        <w:tc>
          <w:tcPr>
            <w:tcW w:w="2783" w:type="dxa"/>
            <w:tcBorders>
              <w:start w:val="single" w:sz="4" w:space="0" w:color="000000"/>
              <w:bottom w:val="single" w:sz="4" w:space="0" w:color="000000"/>
            </w:tcBorders>
            <w:vAlign w:val="center"/>
          </w:tcPr>
          <w:p>
            <w:pPr>
              <w:pStyle w:val="Contenidodelatablauser"/>
              <w:jc w:val="center"/>
              <w:rPr/>
            </w:pPr>
            <w:r>
              <w:rPr/>
              <w:t>Frameshift con generación de un codón de terminación prematuro 20 aa después, lo que produce una proteína truncada y probablemnte no funcional</w:t>
            </w:r>
          </w:p>
        </w:tc>
        <w:tc>
          <w:tcPr>
            <w:tcW w:w="1681" w:type="dxa"/>
            <w:tcBorders>
              <w:start w:val="single" w:sz="4" w:space="0" w:color="000000"/>
              <w:bottom w:val="single" w:sz="4" w:space="0" w:color="000000"/>
            </w:tcBorders>
            <w:vAlign w:val="center"/>
          </w:tcPr>
          <w:p>
            <w:pPr>
              <w:pStyle w:val="Contenidodelatablauser"/>
              <w:jc w:val="center"/>
              <w:rPr/>
            </w:pPr>
            <w:r>
              <w:rPr/>
              <w:t>-</w:t>
            </w:r>
          </w:p>
        </w:tc>
        <w:tc>
          <w:tcPr>
            <w:tcW w:w="4956" w:type="dxa"/>
            <w:tcBorders>
              <w:start w:val="single" w:sz="4" w:space="0" w:color="000000"/>
              <w:bottom w:val="single" w:sz="4" w:space="0" w:color="000000"/>
              <w:end w:val="single" w:sz="4" w:space="0" w:color="000000"/>
            </w:tcBorders>
            <w:vAlign w:val="center"/>
          </w:tcPr>
          <w:p>
            <w:pPr>
              <w:pStyle w:val="Contenidodelatablauser"/>
              <w:jc w:val="center"/>
              <w:rPr/>
            </w:pPr>
            <w:r>
              <w:rPr/>
              <w:t>Podría perderse la función del receptor de leptina debido a la producción de una proteína truncada</w:t>
            </w:r>
          </w:p>
        </w:tc>
      </w:tr>
      <w:tr>
        <w:trPr/>
        <w:tc>
          <w:tcPr>
            <w:tcW w:w="684" w:type="dxa"/>
            <w:tcBorders>
              <w:start w:val="single" w:sz="4" w:space="0" w:color="000000"/>
              <w:bottom w:val="single" w:sz="4" w:space="0" w:color="000000"/>
            </w:tcBorders>
            <w:vAlign w:val="center"/>
          </w:tcPr>
          <w:p>
            <w:pPr>
              <w:pStyle w:val="Contenidodelatablauser"/>
              <w:jc w:val="center"/>
              <w:rPr/>
            </w:pPr>
            <w:r>
              <w:rPr/>
              <w:t>Patty</w:t>
            </w:r>
          </w:p>
        </w:tc>
        <w:tc>
          <w:tcPr>
            <w:tcW w:w="624" w:type="dxa"/>
            <w:tcBorders>
              <w:start w:val="single" w:sz="4" w:space="0" w:color="000000"/>
              <w:bottom w:val="single" w:sz="4" w:space="0" w:color="000000"/>
            </w:tcBorders>
            <w:vAlign w:val="center"/>
          </w:tcPr>
          <w:p>
            <w:pPr>
              <w:pStyle w:val="Contenidodelatablauser"/>
              <w:jc w:val="center"/>
              <w:rPr/>
            </w:pPr>
            <w:r>
              <w:rPr/>
              <w:t>LEPR</w:t>
            </w:r>
          </w:p>
        </w:tc>
        <w:tc>
          <w:tcPr>
            <w:tcW w:w="1524" w:type="dxa"/>
            <w:tcBorders>
              <w:start w:val="single" w:sz="4" w:space="0" w:color="000000"/>
              <w:bottom w:val="single" w:sz="4" w:space="0" w:color="000000"/>
            </w:tcBorders>
            <w:vAlign w:val="center"/>
          </w:tcPr>
          <w:p>
            <w:pPr>
              <w:pStyle w:val="Contenidodelatablauser"/>
              <w:jc w:val="center"/>
              <w:rPr/>
            </w:pPr>
            <w:r>
              <w:rPr/>
              <w:t>Leptin receptor</w:t>
            </w:r>
          </w:p>
        </w:tc>
        <w:tc>
          <w:tcPr>
            <w:tcW w:w="1200" w:type="dxa"/>
            <w:tcBorders>
              <w:start w:val="single" w:sz="4" w:space="0" w:color="000000"/>
              <w:bottom w:val="single" w:sz="4" w:space="0" w:color="000000"/>
            </w:tcBorders>
            <w:vAlign w:val="center"/>
          </w:tcPr>
          <w:p>
            <w:pPr>
              <w:pStyle w:val="Contenidodelatablauser"/>
              <w:jc w:val="center"/>
              <w:rPr/>
            </w:pPr>
            <w:r>
              <w:rPr/>
              <w:t xml:space="preserve">ENSP00000330393 (Ensembl) </w:t>
            </w:r>
          </w:p>
        </w:tc>
        <w:tc>
          <w:tcPr>
            <w:tcW w:w="1092" w:type="dxa"/>
            <w:tcBorders>
              <w:start w:val="single" w:sz="4" w:space="0" w:color="000000"/>
              <w:bottom w:val="single" w:sz="4" w:space="0" w:color="000000"/>
            </w:tcBorders>
            <w:vAlign w:val="center"/>
          </w:tcPr>
          <w:p>
            <w:pPr>
              <w:pStyle w:val="Contenidodelatablauser"/>
              <w:jc w:val="center"/>
              <w:rPr/>
            </w:pPr>
            <w:r>
              <w:rPr/>
              <w:t>N/A Variante intrónica</w:t>
            </w:r>
          </w:p>
        </w:tc>
        <w:tc>
          <w:tcPr>
            <w:tcW w:w="2783" w:type="dxa"/>
            <w:tcBorders>
              <w:start w:val="single" w:sz="4" w:space="0" w:color="000000"/>
              <w:bottom w:val="single" w:sz="4" w:space="0" w:color="000000"/>
            </w:tcBorders>
            <w:vAlign w:val="center"/>
          </w:tcPr>
          <w:p>
            <w:pPr>
              <w:pStyle w:val="Contenidodelatablauser"/>
              <w:jc w:val="center"/>
              <w:rPr/>
            </w:pPr>
            <w:r>
              <w:rPr/>
              <w:t>La variante afecta a la posición -1 del sitio aceptor de splicing, por lo que podría provocar pérdida del splicing normal y formación de transcritos aberrantes</w:t>
            </w:r>
          </w:p>
        </w:tc>
        <w:tc>
          <w:tcPr>
            <w:tcW w:w="1681" w:type="dxa"/>
            <w:tcBorders>
              <w:start w:val="single" w:sz="4" w:space="0" w:color="000000"/>
              <w:bottom w:val="single" w:sz="4" w:space="0" w:color="000000"/>
            </w:tcBorders>
            <w:vAlign w:val="center"/>
          </w:tcPr>
          <w:p>
            <w:pPr>
              <w:pStyle w:val="Contenidodelatablauser"/>
              <w:jc w:val="center"/>
              <w:rPr/>
            </w:pPr>
            <w:r>
              <w:rPr/>
              <w:t>-</w:t>
            </w:r>
          </w:p>
        </w:tc>
        <w:tc>
          <w:tcPr>
            <w:tcW w:w="4956" w:type="dxa"/>
            <w:tcBorders>
              <w:start w:val="single" w:sz="4" w:space="0" w:color="000000"/>
              <w:bottom w:val="single" w:sz="4" w:space="0" w:color="000000"/>
              <w:end w:val="single" w:sz="4" w:space="0" w:color="000000"/>
            </w:tcBorders>
            <w:vAlign w:val="center"/>
          </w:tcPr>
          <w:p>
            <w:pPr>
              <w:pStyle w:val="Contenidodelatablauser"/>
              <w:jc w:val="center"/>
              <w:rPr/>
            </w:pPr>
            <w:r>
              <w:rPr/>
              <w:t>Podría impedir el procesamiento correcto del mARN y generar transcritos aberrantes o proteínas no funcionales</w:t>
            </w:r>
          </w:p>
        </w:tc>
      </w:tr>
      <w:tr>
        <w:trPr/>
        <w:tc>
          <w:tcPr>
            <w:tcW w:w="684" w:type="dxa"/>
            <w:tcBorders>
              <w:start w:val="single" w:sz="4" w:space="0" w:color="000000"/>
              <w:bottom w:val="single" w:sz="4" w:space="0" w:color="000000"/>
            </w:tcBorders>
            <w:vAlign w:val="center"/>
          </w:tcPr>
          <w:p>
            <w:pPr>
              <w:pStyle w:val="Contenidodelatablauser"/>
              <w:jc w:val="center"/>
              <w:rPr/>
            </w:pPr>
            <w:r>
              <w:rPr/>
              <w:t>Patty</w:t>
            </w:r>
          </w:p>
        </w:tc>
        <w:tc>
          <w:tcPr>
            <w:tcW w:w="624" w:type="dxa"/>
            <w:tcBorders>
              <w:start w:val="single" w:sz="4" w:space="0" w:color="000000"/>
              <w:bottom w:val="single" w:sz="4" w:space="0" w:color="000000"/>
            </w:tcBorders>
            <w:vAlign w:val="center"/>
          </w:tcPr>
          <w:p>
            <w:pPr>
              <w:pStyle w:val="Contenidodelatablauser"/>
              <w:jc w:val="center"/>
              <w:rPr/>
            </w:pPr>
            <w:r>
              <w:rPr/>
              <w:t>MED12</w:t>
            </w:r>
          </w:p>
        </w:tc>
        <w:tc>
          <w:tcPr>
            <w:tcW w:w="1524" w:type="dxa"/>
            <w:tcBorders>
              <w:start w:val="single" w:sz="4" w:space="0" w:color="000000"/>
              <w:bottom w:val="single" w:sz="4" w:space="0" w:color="000000"/>
            </w:tcBorders>
            <w:vAlign w:val="center"/>
          </w:tcPr>
          <w:p>
            <w:pPr>
              <w:pStyle w:val="Contenidodelatablauser"/>
              <w:jc w:val="center"/>
              <w:rPr/>
            </w:pPr>
            <w:r>
              <w:rPr/>
              <w:t>Mediator of RNA polymerase II transcription subunit 12</w:t>
            </w:r>
          </w:p>
        </w:tc>
        <w:tc>
          <w:tcPr>
            <w:tcW w:w="1200" w:type="dxa"/>
            <w:tcBorders>
              <w:start w:val="single" w:sz="4" w:space="0" w:color="000000"/>
              <w:bottom w:val="single" w:sz="4" w:space="0" w:color="000000"/>
            </w:tcBorders>
            <w:vAlign w:val="center"/>
          </w:tcPr>
          <w:p>
            <w:pPr>
              <w:pStyle w:val="Contenidodelatablauser"/>
              <w:jc w:val="center"/>
              <w:rPr/>
            </w:pPr>
            <w:r>
              <w:rPr/>
              <w:t>NP_005111.2 (NCBI)</w:t>
            </w:r>
          </w:p>
        </w:tc>
        <w:tc>
          <w:tcPr>
            <w:tcW w:w="1092" w:type="dxa"/>
            <w:tcBorders>
              <w:start w:val="single" w:sz="4" w:space="0" w:color="000000"/>
              <w:bottom w:val="single" w:sz="4" w:space="0" w:color="000000"/>
            </w:tcBorders>
            <w:vAlign w:val="center"/>
          </w:tcPr>
          <w:p>
            <w:pPr>
              <w:pStyle w:val="Contenidodelatablauser"/>
              <w:jc w:val="center"/>
              <w:rPr/>
            </w:pPr>
            <w:r>
              <w:rPr/>
              <w:t>p.Ala210Val</w:t>
            </w:r>
          </w:p>
        </w:tc>
        <w:tc>
          <w:tcPr>
            <w:tcW w:w="2783" w:type="dxa"/>
            <w:tcBorders>
              <w:start w:val="single" w:sz="4" w:space="0" w:color="000000"/>
              <w:bottom w:val="single" w:sz="4" w:space="0" w:color="000000"/>
            </w:tcBorders>
            <w:vAlign w:val="center"/>
          </w:tcPr>
          <w:p>
            <w:pPr>
              <w:pStyle w:val="Contenidodelatablauser"/>
              <w:jc w:val="center"/>
              <w:rPr/>
            </w:pPr>
            <w:r>
              <w:rPr/>
              <w:t>Sustitución no sinónima de Alanina por Valina. Ambos aa presentan propiedades fisicoquímicas similares e hidrofóbicas, por lo que constituye un cambio conservativo</w:t>
            </w:r>
          </w:p>
        </w:tc>
        <w:tc>
          <w:tcPr>
            <w:tcW w:w="1681" w:type="dxa"/>
            <w:tcBorders>
              <w:start w:val="single" w:sz="4" w:space="0" w:color="000000"/>
              <w:bottom w:val="single" w:sz="4" w:space="0" w:color="000000"/>
            </w:tcBorders>
            <w:vAlign w:val="center"/>
          </w:tcPr>
          <w:p>
            <w:pPr>
              <w:pStyle w:val="Contenidodelatablauser"/>
              <w:tabs>
                <w:tab w:val="clear" w:pos="709"/>
                <w:tab w:val="left" w:pos="1584" w:leader="none"/>
              </w:tabs>
              <w:jc w:val="center"/>
              <w:rPr/>
            </w:pPr>
            <w:r>
              <w:rPr/>
              <w:t>SIFT: Dañina pero con baja confianza (0,02); PolyPhen: Benigna (0,118)</w:t>
            </w:r>
          </w:p>
        </w:tc>
        <w:tc>
          <w:tcPr>
            <w:tcW w:w="4956" w:type="dxa"/>
            <w:tcBorders>
              <w:start w:val="single" w:sz="4" w:space="0" w:color="000000"/>
              <w:bottom w:val="single" w:sz="4" w:space="0" w:color="000000"/>
              <w:end w:val="single" w:sz="4" w:space="0" w:color="000000"/>
            </w:tcBorders>
            <w:vAlign w:val="center"/>
          </w:tcPr>
          <w:p>
            <w:pPr>
              <w:pStyle w:val="Contenidodelatablauser"/>
              <w:jc w:val="center"/>
              <w:rPr/>
            </w:pPr>
            <w:r>
              <w:rPr/>
              <w:t>Resultados contradictorios, por lo que la relevancia funcional de la variante es incierta</w:t>
            </w:r>
          </w:p>
        </w:tc>
      </w:tr>
    </w:tbl>
    <w:p>
      <w:pPr>
        <w:pStyle w:val="Vietaprimernivel"/>
        <w:numPr>
          <w:ilvl w:val="0"/>
          <w:numId w:val="0"/>
        </w:numPr>
        <w:spacing w:before="0" w:after="0"/>
        <w:ind w:hanging="0" w:start="0"/>
        <w:rPr/>
        <w:sectPr>
          <w:headerReference w:type="even" r:id="rId13"/>
          <w:headerReference w:type="default" r:id="rId14"/>
          <w:headerReference w:type="first" r:id="rId15"/>
          <w:footerReference w:type="even" r:id="rId16"/>
          <w:footerReference w:type="default" r:id="rId17"/>
          <w:footerReference w:type="first" r:id="rId18"/>
          <w:type w:val="nextPage"/>
          <w:pgSz w:orient="landscape" w:w="16838" w:h="11906"/>
          <w:pgMar w:left="1134" w:right="1134" w:gutter="0" w:header="0" w:top="1134" w:footer="0" w:bottom="1134"/>
          <w:pgNumType w:fmt="decimal"/>
          <w:formProt w:val="false"/>
          <w:textDirection w:val="lrTb"/>
          <w:docGrid w:type="default" w:linePitch="100" w:charSpace="0"/>
        </w:sectPr>
      </w:pPr>
      <w:r>
        <w:rPr/>
      </w:r>
    </w:p>
    <w:p>
      <w:pPr>
        <w:pStyle w:val="Normal"/>
        <w:rPr/>
      </w:pPr>
      <w:r>
        <w:rPr/>
        <w:t xml:space="preserve">Para las </w:t>
      </w:r>
      <w:r>
        <w:rPr>
          <w:b/>
          <w:bCs/>
        </w:rPr>
        <w:t xml:space="preserve">mutaciones de cambio de nucleótido, </w:t>
      </w:r>
      <w:r>
        <w:rPr/>
        <w:t xml:space="preserve">indica la </w:t>
      </w:r>
      <w:r>
        <w:rPr>
          <w:b/>
          <w:bCs/>
        </w:rPr>
        <w:t>predicción</w:t>
      </w:r>
      <w:r>
        <w:rPr/>
        <w:t xml:space="preserve"> </w:t>
      </w:r>
      <w:r>
        <w:rPr>
          <w:b/>
          <w:bCs/>
        </w:rPr>
        <w:t>de la patogenicidad</w:t>
      </w:r>
      <w:r>
        <w:rPr/>
        <w:t xml:space="preserve"> de la variante en la proteína (SIFT y PolyPhen). Además, realiza un alineamiento de secuencias ortólogas con </w:t>
      </w:r>
      <w:hyperlink r:id="rId19">
        <w:r>
          <w:rPr>
            <w:rStyle w:val="Style7"/>
            <w:color w:themeColor="hyperlink" w:val="0098CD"/>
            <w:u w:val="single"/>
          </w:rPr>
          <w:t>Clustal Omega</w:t>
        </w:r>
      </w:hyperlink>
      <w:r>
        <w:rPr/>
        <w:t xml:space="preserve"> para evaluar la conservación del aminoácido afectado y consulta en la base de datos de </w:t>
      </w:r>
      <w:hyperlink r:id="rId20">
        <w:r>
          <w:rPr>
            <w:rStyle w:val="Style7"/>
            <w:color w:themeColor="hyperlink" w:val="0098CD"/>
            <w:u w:val="single"/>
          </w:rPr>
          <w:t>Uniprot</w:t>
        </w:r>
      </w:hyperlink>
      <w:r>
        <w:rPr/>
        <w:t xml:space="preserve"> el dominio de la proteína que se vería afectado. En el informe deberás incluir un apartado sobre interpretación de resultados indicando </w:t>
      </w:r>
      <w:r>
        <w:rPr>
          <w:b/>
          <w:bCs/>
        </w:rPr>
        <w:t>si el aminoácido está conservado</w:t>
      </w:r>
      <w:r>
        <w:rPr/>
        <w:t xml:space="preserve">, qué </w:t>
      </w:r>
      <w:r>
        <w:rPr>
          <w:b/>
          <w:bCs/>
        </w:rPr>
        <w:t>dominio proteico se ve afectado</w:t>
      </w:r>
      <w:r>
        <w:rPr/>
        <w:t xml:space="preserve"> y discute si predices alguna </w:t>
      </w:r>
      <w:r>
        <w:rPr>
          <w:b/>
          <w:bCs/>
        </w:rPr>
        <w:t>consecuencia en la proteína</w:t>
      </w:r>
      <w:r>
        <w:rPr/>
        <w:t>.</w:t>
      </w:r>
    </w:p>
    <w:p>
      <w:pPr>
        <w:pStyle w:val="Normal"/>
        <w:rPr>
          <w:color w:val="5983B0"/>
        </w:rPr>
      </w:pPr>
      <w:r>
        <w:rPr>
          <w:color w:val="5983B0"/>
        </w:rPr>
        <w:t>**TP53 (p.Pro72Leu)**</w:t>
      </w:r>
    </w:p>
    <w:p>
      <w:pPr>
        <w:pStyle w:val="Normal"/>
        <w:rPr>
          <w:color w:val="5983B0"/>
        </w:rPr>
      </w:pPr>
      <w:r>
        <w:rPr>
          <w:color w:val="5983B0"/>
        </w:rPr>
        <w:t xml:space="preserve">El alineamiento múltiple de las secuencias de TP53 procedentes de humano, bovino, ratón, rata y pez cebra muestra una variabilidad apreciable en la región donde se </w:t>
      </w:r>
    </w:p>
    <w:p>
      <w:pPr>
        <w:pStyle w:val="Normal"/>
        <w:rPr>
          <w:color w:val="5983B0"/>
        </w:rPr>
      </w:pPr>
      <w:r>
        <w:rPr>
          <w:color w:val="5983B0"/>
        </w:rPr>
        <w:t xml:space="preserve">localiza el residuo 72. Aunque se observan posiciones conservadas a lo largo del alineamiento, la región que contiene la prolina 72 presenta diferencias entre las </w:t>
      </w:r>
    </w:p>
    <w:p>
      <w:pPr>
        <w:pStyle w:val="Normal"/>
        <w:rPr>
          <w:color w:val="5983B0"/>
        </w:rPr>
      </w:pPr>
      <w:r>
        <w:rPr>
          <w:color w:val="5983B0"/>
        </w:rPr>
        <w:t>especies analizadas, por lo que no puede considerarse una región completamente conservada.</w:t>
      </w:r>
    </w:p>
    <w:p>
      <w:pPr>
        <w:pStyle w:val="Normal"/>
        <w:rPr>
          <w:color w:val="5983B0"/>
        </w:rPr>
      </w:pPr>
      <w:r>
        <w:rPr>
          <w:color w:val="5983B0"/>
        </w:rPr>
        <w:t xml:space="preserve">La variante p.Pro72Leu produce una sustitución de prolina por leucina en la posición 72 de la proteína p53. Las herramientas de predicción indican que la variante es tolerada </w:t>
      </w:r>
    </w:p>
    <w:p>
      <w:pPr>
        <w:pStyle w:val="Normal"/>
        <w:rPr>
          <w:color w:val="5983B0"/>
        </w:rPr>
      </w:pPr>
      <w:r>
        <w:rPr>
          <w:color w:val="5983B0"/>
        </w:rPr>
        <w:t xml:space="preserve">(SIFT = 0,13) y benigna (PolyPhen = 0,003). Además, el alineamiento múltiple muestra una baja conservación de esta región. En conjunto, los </w:t>
      </w:r>
    </w:p>
    <w:p>
      <w:pPr>
        <w:pStyle w:val="Normal"/>
        <w:rPr>
          <w:color w:val="5983B0"/>
        </w:rPr>
      </w:pPr>
      <w:r>
        <w:rPr>
          <w:color w:val="5983B0"/>
        </w:rPr>
        <w:t>resultados sugieren que la variante probablemente tenga un impacto funcional limitado sobre la proteína.</w:t>
      </w:r>
    </w:p>
    <w:p>
      <w:pPr>
        <w:pStyle w:val="Normal"/>
        <w:rPr>
          <w:color w:val="5983B0"/>
        </w:rPr>
      </w:pPr>
      <w:r>
        <w:rPr>
          <w:color w:val="5983B0"/>
        </w:rPr>
      </w:r>
    </w:p>
    <w:p>
      <w:pPr>
        <w:pStyle w:val="Normal"/>
        <w:rPr>
          <w:color w:val="5983B0"/>
        </w:rPr>
      </w:pPr>
      <w:r>
        <w:rPr>
          <w:color w:val="5983B0"/>
        </w:rPr>
        <w:t>**MED12 (p.Ala210Val)**</w:t>
      </w:r>
    </w:p>
    <w:p>
      <w:pPr>
        <w:pStyle w:val="Normal"/>
        <w:rPr>
          <w:color w:val="5983B0"/>
        </w:rPr>
      </w:pPr>
      <w:r>
        <w:rPr>
          <w:color w:val="5983B0"/>
        </w:rPr>
        <w:t>El alineamiento múltiple de las secuencias de MED12 procedentes de humano, ratón y pez cebra muestra un elevado grado de similitud en la región que contiene el residuo</w:t>
      </w:r>
    </w:p>
    <w:p>
      <w:pPr>
        <w:pStyle w:val="Normal"/>
        <w:rPr>
          <w:color w:val="5983B0"/>
        </w:rPr>
      </w:pPr>
      <w:r>
        <w:rPr>
          <w:color w:val="5983B0"/>
        </w:rPr>
        <w:t>210. En esta zona se observan numerosas posiciones conservadas (indicadas por "*") y residuos con propiedades similares (indicados por ":" y "."), lo que evidencia una</w:t>
      </w:r>
    </w:p>
    <w:p>
      <w:pPr>
        <w:pStyle w:val="Normal"/>
        <w:rPr>
          <w:color w:val="5983B0"/>
        </w:rPr>
      </w:pPr>
      <w:r>
        <w:rPr>
          <w:color w:val="5983B0"/>
        </w:rPr>
        <w:t>conservación considerable de la región entre las especies analizadas.</w:t>
      </w:r>
    </w:p>
    <w:p>
      <w:pPr>
        <w:pStyle w:val="Normal"/>
        <w:rPr>
          <w:color w:val="5983B0"/>
        </w:rPr>
      </w:pPr>
      <w:r>
        <w:rPr>
          <w:color w:val="5983B0"/>
        </w:rPr>
        <w:t xml:space="preserve">La variante p.Ala210Val provoca una sustitución de alanina por valina. Dado que ambos aminoácidos presentan características fisicoquímicas similares, el cambio puede </w:t>
      </w:r>
    </w:p>
    <w:p>
      <w:pPr>
        <w:pStyle w:val="Normal"/>
        <w:rPr>
          <w:color w:val="5983B0"/>
        </w:rPr>
      </w:pPr>
      <w:r>
        <w:rPr>
          <w:color w:val="5983B0"/>
        </w:rPr>
        <w:t xml:space="preserve">considerarse conservativo. Sin embargo, la región donde se localiza la variante muestra una elevada conservación evolutiva en el alineamiento múltiple. Las predicciones de </w:t>
      </w:r>
    </w:p>
    <w:p>
      <w:pPr>
        <w:pStyle w:val="Normal"/>
        <w:rPr>
          <w:color w:val="5983B0"/>
        </w:rPr>
      </w:pPr>
      <w:r>
        <w:rPr>
          <w:color w:val="5983B0"/>
        </w:rPr>
        <w:t>patogenicidad son contradictorias (SIFT: dañina; PolyPhen: benigna), por lo que no puede establecerse con certeza el impacto funcional de la variante.</w:t>
      </w:r>
    </w:p>
    <w:p>
      <w:pPr>
        <w:pStyle w:val="Normal"/>
        <w:rPr>
          <w:color w:val="5983B0"/>
        </w:rPr>
      </w:pPr>
      <w:r>
        <w:rPr>
          <w:color w:val="5983B0"/>
        </w:rPr>
      </w:r>
    </w:p>
    <w:p>
      <w:pPr>
        <w:pStyle w:val="Normal"/>
        <w:rPr>
          <w:color w:val="5983B0"/>
        </w:rPr>
      </w:pPr>
      <w:r>
        <w:rPr>
          <w:color w:val="5983B0"/>
        </w:rPr>
      </w:r>
    </w:p>
    <w:p>
      <w:pPr>
        <w:pStyle w:val="Normal"/>
        <w:rPr/>
      </w:pPr>
      <w:r>
        <w:rPr/>
        <w:t xml:space="preserve">Para las </w:t>
      </w:r>
      <w:r>
        <w:rPr>
          <w:b/>
          <w:bCs/>
        </w:rPr>
        <w:t>deleciones</w:t>
      </w:r>
      <w:r>
        <w:rPr/>
        <w:t xml:space="preserve"> deberéis analizar la secuencia nueva de la proteína con la herramienta </w:t>
      </w:r>
      <w:hyperlink r:id="rId21">
        <w:r>
          <w:rPr>
            <w:rStyle w:val="Style7"/>
            <w:color w:themeColor="hyperlink" w:val="0098CD"/>
            <w:u w:val="single"/>
          </w:rPr>
          <w:t>biomodel</w:t>
        </w:r>
      </w:hyperlink>
      <w:r>
        <w:rPr/>
        <w:t xml:space="preserve"> e indicar la longitud total de aminoácidos de la proteína wt y de la proteína truncada (la resultante de la mutación). Consultad en la base de datos de </w:t>
      </w:r>
      <w:hyperlink r:id="rId22">
        <w:r>
          <w:rPr>
            <w:rStyle w:val="Style7"/>
            <w:color w:themeColor="hyperlink" w:val="0098CD"/>
            <w:u w:val="single"/>
          </w:rPr>
          <w:t>Uniprot</w:t>
        </w:r>
      </w:hyperlink>
      <w:r>
        <w:rPr/>
        <w:t xml:space="preserve"> los dominios de la proteína que se han perdido y en base a esta información, determinad si la proteína resultante sería funcional (en caso de ser estable).</w:t>
      </w:r>
    </w:p>
    <w:p>
      <w:pPr>
        <w:pStyle w:val="Normal"/>
        <w:ind w:hanging="0" w:start="0"/>
        <w:rPr>
          <w:color w:val="5983B0"/>
        </w:rPr>
      </w:pPr>
      <w:r>
        <w:rPr>
          <w:color w:val="5983B0"/>
        </w:rPr>
        <w:t>Se ha analizado la proteína LEPR, que es la que contenía una mutación debida a una deleción. En concreto, el tránscrito ENST00000349533.11 de LEPR-202.  La longitud total de aminoácidos de la protéina wt es de 1165 aa, como viene indicado en Ensembl. Para calcular la longitud de la proteína truncada, se ha obtenido la traducción de la secuencia mutada mediante BioModel. Vemos en LEPR_mutated como la deleción causa un codón de STOP prematuro, quedando una proteína truncada de 615 aminoácidos. Este resultado es consistente con la nomenclatura HGVS p.Ser597IlefsTer20,que indica un cambio del marco de lecrura a partir del aa 597 y la aparición de un codón de stop prematuro tras 20 aa.</w:t>
      </w:r>
    </w:p>
    <w:p>
      <w:pPr>
        <w:pStyle w:val="Normal"/>
        <w:ind w:hanging="0" w:start="0"/>
        <w:rPr>
          <w:color w:val="5983B0"/>
        </w:rPr>
      </w:pPr>
      <w:r>
        <w:rPr>
          <w:color w:val="5983B0"/>
        </w:rPr>
        <w:t>Tras la búsqueda en UniProt de los dominios de la proteína para analizar cúales se han perdido tras la mutación, teniendo en cuenta las posiciones que ocupan podemos sacr los siguientes resultados:</w:t>
      </w:r>
    </w:p>
    <w:p>
      <w:pPr>
        <w:pStyle w:val="Normal"/>
        <w:ind w:hanging="0" w:start="0"/>
        <w:rPr>
          <w:color w:val="5983B0"/>
        </w:rPr>
      </w:pPr>
      <w:r>
        <w:drawing>
          <wp:anchor distT="0" distB="0" distL="0" distR="0" simplePos="0" relativeHeight="33" behindDoc="0" locked="0" layoutInCell="0" allowOverlap="1">
            <wp:simplePos x="0" y="0"/>
            <wp:positionH relativeFrom="column">
              <wp:align>center</wp:align>
            </wp:positionH>
            <wp:positionV relativeFrom="paragraph">
              <wp:posOffset>635</wp:posOffset>
            </wp:positionV>
            <wp:extent cx="5219700" cy="1826895"/>
            <wp:effectExtent l="0" t="0" r="0" b="0"/>
            <wp:wrapSquare wrapText="largest"/>
            <wp:docPr id="8"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3"/>
                    <pic:cNvPicPr>
                      <a:picLocks noChangeAspect="1" noChangeArrowheads="1"/>
                    </pic:cNvPicPr>
                  </pic:nvPicPr>
                  <pic:blipFill>
                    <a:blip r:embed="rId23"/>
                    <a:stretch>
                      <a:fillRect/>
                    </a:stretch>
                  </pic:blipFill>
                  <pic:spPr bwMode="auto">
                    <a:xfrm>
                      <a:off x="0" y="0"/>
                      <a:ext cx="5219700" cy="1826895"/>
                    </a:xfrm>
                    <a:prstGeom prst="rect">
                      <a:avLst/>
                    </a:prstGeom>
                    <a:noFill/>
                  </pic:spPr>
                </pic:pic>
              </a:graphicData>
            </a:graphic>
          </wp:anchor>
        </w:drawing>
      </w:r>
      <w:r>
        <w:rPr>
          <w:color w:val="5983B0"/>
        </w:rPr>
        <w:t>La proteína truncada conserva la región de unión a leptina, por lo que podría mantener parcialemnte la capacidad de reconocer el ligando. También conserva Fibronectin type-III 1 y Ig-like. Sin embargo, pierde parte del dominio Fibronectin type-III 2; el motivo WSXWS, descrito en Uniprot como esencial para el correcto plegamiento de la proteína, su transporte intracelular y su localización en la superficie celular. Además, la truncación elimina el dominio citoplasmático, que participa en la transducción de señal mediante la activación de JAK tirosina quinasa y proteínas STAT. También se pierde el motivo Box1, necesatio para la interacción y/o activación de JAK.</w:t>
      </w:r>
    </w:p>
    <w:p>
      <w:pPr>
        <w:pStyle w:val="Normal"/>
        <w:ind w:hanging="0" w:start="0"/>
        <w:rPr>
          <w:color w:val="5983B0"/>
        </w:rPr>
      </w:pPr>
      <w:r>
        <w:rPr>
          <w:color w:val="5983B0"/>
        </w:rPr>
        <w:t>En consecuencia, aunque la proteína truncada fuese estable, es muy probable que no pudiera transmitir la señal de leptiina al interior celular, por lo que sería una proteína no funcional.</w:t>
      </w:r>
    </w:p>
    <w:p>
      <w:pPr>
        <w:pStyle w:val="Normal"/>
        <w:ind w:hanging="284" w:start="284"/>
        <w:rPr>
          <w:color w:val="5983B0"/>
        </w:rPr>
      </w:pPr>
      <w:r>
        <w:rPr>
          <w:color w:val="5983B0"/>
        </w:rPr>
      </w:r>
    </w:p>
    <w:p>
      <w:pPr>
        <w:pStyle w:val="Normal"/>
        <w:ind w:hanging="284" w:start="284"/>
        <w:rPr/>
      </w:pPr>
      <w:r>
        <w:rPr/>
      </w:r>
    </w:p>
    <w:p>
      <w:pPr>
        <w:pStyle w:val="Normal"/>
        <w:ind w:hanging="0" w:start="0"/>
        <w:rPr/>
      </w:pPr>
      <w:r>
        <w:rPr/>
        <w:t xml:space="preserve">Para las </w:t>
      </w:r>
      <w:r>
        <w:rPr>
          <w:b/>
          <w:bCs/>
        </w:rPr>
        <w:t>mutaciones intrónicas</w:t>
      </w:r>
      <w:r>
        <w:rPr/>
        <w:t xml:space="preserve"> deberéis analizar con </w:t>
      </w:r>
      <w:hyperlink r:id="rId24">
        <w:r>
          <w:rPr>
            <w:rStyle w:val="Style7"/>
            <w:color w:themeColor="hyperlink" w:val="0098CD"/>
            <w:u w:val="single"/>
          </w:rPr>
          <w:t>BDGP splicing</w:t>
        </w:r>
      </w:hyperlink>
      <w:r>
        <w:rPr/>
        <w:t xml:space="preserve"> los </w:t>
      </w:r>
      <w:r>
        <w:rPr>
          <w:i/>
          <w:iCs/>
        </w:rPr>
        <w:t>scores</w:t>
      </w:r>
      <w:r>
        <w:rPr/>
        <w:t xml:space="preserve"> para el </w:t>
      </w:r>
      <w:r>
        <w:rPr>
          <w:i/>
          <w:iCs/>
        </w:rPr>
        <w:t>splice site</w:t>
      </w:r>
      <w:r>
        <w:rPr/>
        <w:t xml:space="preserve"> y analizar si predices que se pierde un </w:t>
      </w:r>
      <w:r>
        <w:rPr>
          <w:i/>
          <w:iCs/>
        </w:rPr>
        <w:t>splice site</w:t>
      </w:r>
      <w:r>
        <w:rPr/>
        <w:t xml:space="preserve"> o si utilizará otro alternativo y cuál. Valora si sería conveniente emplear otras herramientas computacionales de análisis de </w:t>
      </w:r>
      <w:r>
        <w:rPr>
          <w:i/>
          <w:iCs/>
        </w:rPr>
        <w:t>splicing</w:t>
      </w:r>
      <w:r>
        <w:rPr/>
        <w:t xml:space="preserve"> tales como </w:t>
      </w:r>
      <w:hyperlink r:id="rId25">
        <w:r>
          <w:rPr>
            <w:rStyle w:val="Style7"/>
            <w:color w:themeColor="hyperlink" w:val="0098CD"/>
            <w:u w:val="single"/>
          </w:rPr>
          <w:t>ESE Finder</w:t>
        </w:r>
      </w:hyperlink>
      <w:r>
        <w:rPr/>
        <w:t xml:space="preserve"> o </w:t>
      </w:r>
      <w:r>
        <w:fldChar w:fldCharType="begin"/>
      </w:r>
      <w:r>
        <w:rPr>
          <w:rStyle w:val="Style7"/>
          <w:color w:themeColor="hyperlink" w:val="0098CD"/>
          <w:u w:val="single"/>
        </w:rPr>
        <w:instrText xml:space="preserve"> HYPERLINK "https://cryp-skip.img.cas.cz/" \l ":~:text=Splice-site%20mutations%20usually%20induce%20exon%20skipping%20or%20cryptic,the%20two%20aberrant%20transcripts%20from%20the%20primary%20sequence."</w:instrText>
      </w:r>
      <w:r>
        <w:rPr>
          <w:rStyle w:val="Style7"/>
          <w:color w:themeColor="hyperlink" w:val="0098CD"/>
          <w:u w:val="single"/>
        </w:rPr>
        <w:fldChar w:fldCharType="separate"/>
      </w:r>
      <w:r>
        <w:rPr>
          <w:rStyle w:val="Style7"/>
          <w:color w:themeColor="hyperlink" w:val="0098CD"/>
          <w:u w:val="single"/>
        </w:rPr>
        <w:t>Cryp-Skip</w:t>
      </w:r>
      <w:r>
        <w:rPr>
          <w:rStyle w:val="Style7"/>
          <w:color w:themeColor="hyperlink" w:val="0098CD"/>
          <w:u w:val="single"/>
        </w:rPr>
        <w:fldChar w:fldCharType="end"/>
      </w:r>
      <w:r>
        <w:rPr/>
        <w:t xml:space="preserve">. Consultad en la base de datos de </w:t>
      </w:r>
      <w:hyperlink r:id="rId26">
        <w:r>
          <w:rPr>
            <w:rStyle w:val="Style7"/>
            <w:color w:themeColor="hyperlink" w:val="0098CD"/>
            <w:u w:val="single"/>
          </w:rPr>
          <w:t>Uniprot</w:t>
        </w:r>
      </w:hyperlink>
      <w:r>
        <w:rPr/>
        <w:t xml:space="preserve"> los dominios de la proteína que creéis que se perderían y en base a esta información, determinad si la proteína resultante sería funcional (en caso de ser estable).</w:t>
      </w:r>
    </w:p>
    <w:p>
      <w:pPr>
        <w:pStyle w:val="Normal"/>
        <w:ind w:hanging="0" w:start="0"/>
        <w:rPr>
          <w:color w:val="5983B0"/>
          <w:u w:val="single"/>
        </w:rPr>
      </w:pPr>
      <w:r>
        <w:rPr>
          <w:color w:val="5983B0"/>
          <w:u w:val="single"/>
        </w:rPr>
        <w:t>BDGP</w:t>
      </w:r>
    </w:p>
    <w:p>
      <w:pPr>
        <w:pStyle w:val="Normal"/>
        <w:ind w:hanging="0" w:start="0"/>
        <w:rPr>
          <w:color w:val="5983B0"/>
        </w:rPr>
      </w:pPr>
      <w:r>
        <w:rPr>
          <w:color w:val="5983B0"/>
        </w:rPr>
        <w:t>En la secuencia normal, BDGP detecta un sitio aceptor de splicing con score alto (0.97), justo en el motivo AG del límite intrón-exón. En la secuencia mutada c.2396-1G&gt;T, ese sitio ya no es detectado por BDGP, lo que sugiere pérdida del sitio aceptor canónico.</w:t>
      </w:r>
    </w:p>
    <w:p>
      <w:pPr>
        <w:pStyle w:val="Normal"/>
        <w:ind w:hanging="0" w:start="0"/>
        <w:rPr>
          <w:color w:val="5983B0"/>
        </w:rPr>
      </w:pPr>
      <w:r>
        <w:rPr>
          <w:color w:val="5983B0"/>
        </w:rPr>
        <w:t>La variante LEPR c.2396-1G&gt;T altera el nucleótido G del dinucleótido aceptor AG. El análisis con BDGP muestra que el sitio aceptor normalpresenta un score alto (0.97), mientras que tras introducir la mutación el sitio desaparece. Por tanto, se predice una pérdida del sitio aceptor de splicing, lo que podría provocar alteración del procesamiento del pre-mRNA, como salto del exón afectado o uso de un sitio aceptor críptico alternativo.</w:t>
      </w:r>
    </w:p>
    <w:p>
      <w:pPr>
        <w:pStyle w:val="Normal"/>
        <w:ind w:hanging="0" w:start="0"/>
        <w:rPr>
          <w:color w:val="5983B0"/>
        </w:rPr>
      </w:pPr>
      <w:r>
        <w:rPr>
          <w:color w:val="5983B0"/>
        </w:rPr>
      </w:r>
    </w:p>
    <w:p>
      <w:pPr>
        <w:pStyle w:val="Normal"/>
        <w:ind w:hanging="0" w:start="0"/>
        <w:rPr>
          <w:color w:val="5983B0"/>
          <w:u w:val="single"/>
        </w:rPr>
      </w:pPr>
      <w:r>
        <w:rPr>
          <w:color w:val="5983B0"/>
          <w:u w:val="single"/>
        </w:rPr>
        <w:t>CRYPSKIP</w:t>
      </w:r>
    </w:p>
    <w:p>
      <w:pPr>
        <w:pStyle w:val="Normal"/>
        <w:ind w:hanging="0" w:start="0"/>
        <w:rPr>
          <w:color w:val="5983B0"/>
        </w:rPr>
      </w:pPr>
      <w:r>
        <w:rPr>
          <w:color w:val="5983B0"/>
        </w:rPr>
        <w:t xml:space="preserve">Para valorar qué mecanismo aberrante podría producirse, se analizó la secuencia con Cryp-Skip. El programa mostró una probabilidad baja de activación de un sitio </w:t>
      </w:r>
    </w:p>
    <w:p>
      <w:pPr>
        <w:pStyle w:val="Normal"/>
        <w:ind w:hanging="0" w:start="0"/>
        <w:rPr>
          <w:color w:val="5983B0"/>
        </w:rPr>
      </w:pPr>
      <w:r>
        <w:rPr>
          <w:color w:val="5983B0"/>
        </w:rPr>
        <w:t>críptico (PCR-E = 0.11), lo que sugiere que es menos probable que se utilice un sitio alternativo cercano y más probable que ocurra salto del exón 17.</w:t>
      </w:r>
    </w:p>
    <w:p>
      <w:pPr>
        <w:pStyle w:val="Normal"/>
        <w:ind w:hanging="0" w:start="0"/>
        <w:rPr>
          <w:color w:val="5983B0"/>
        </w:rPr>
      </w:pPr>
      <w:r>
        <w:rPr>
          <w:color w:val="5983B0"/>
        </w:rPr>
        <w:t>Si el exón 17 se omite durante el procesamiento del pre-mRNA, la secuencia codificante quedaría alterada. Dado que el exón 17 tiene 96 bp, su pérdida podría modificar la pauta de lectura o alterar la estructura proteica, dependiendo de cómo se empalmen los exones 16 y 18. En este contexto, la pérdida del sitio aceptor puede generar un transcrito aberrante y potencialmente una proteína LEPR alterada o no funcional.</w:t>
      </w:r>
    </w:p>
    <w:p>
      <w:pPr>
        <w:pStyle w:val="Normal"/>
        <w:ind w:hanging="0" w:start="0"/>
        <w:rPr>
          <w:color w:val="5983B0"/>
        </w:rPr>
      </w:pPr>
      <w:r>
        <w:rPr>
          <w:color w:val="5983B0"/>
        </w:rPr>
        <w:t xml:space="preserve">Además, VEP clasifica esta variante como splice_acceptor_variant de impacto HIGH, lo que refuerza la predicción de que la alteración del splicing puede tener </w:t>
      </w:r>
    </w:p>
    <w:p>
      <w:pPr>
        <w:pStyle w:val="Normal"/>
        <w:ind w:hanging="0" w:start="0"/>
        <w:rPr>
          <w:color w:val="5983B0"/>
        </w:rPr>
      </w:pPr>
      <w:r>
        <w:rPr>
          <w:color w:val="5983B0"/>
        </w:rPr>
        <w:t>consecuencias relevantes sobre el producto proteico.</w:t>
      </w:r>
    </w:p>
    <w:p>
      <w:pPr>
        <w:pStyle w:val="Normal"/>
        <w:ind w:hanging="0" w:start="0"/>
        <w:rPr>
          <w:color w:val="5983B0"/>
        </w:rPr>
      </w:pPr>
      <w:r>
        <w:rPr>
          <w:color w:val="5983B0"/>
        </w:rPr>
      </w:r>
    </w:p>
    <w:p>
      <w:pPr>
        <w:pStyle w:val="Normal"/>
        <w:ind w:hanging="0" w:start="0"/>
        <w:rPr>
          <w:color w:val="5983B0"/>
        </w:rPr>
      </w:pPr>
      <w:r>
        <w:rPr>
          <w:color w:val="5983B0"/>
        </w:rPr>
      </w:r>
    </w:p>
    <w:p>
      <w:pPr>
        <w:pStyle w:val="Normal"/>
        <w:ind w:hanging="0" w:start="0"/>
        <w:rPr>
          <w:color w:val="5983B0"/>
          <w:u w:val="single"/>
        </w:rPr>
      </w:pPr>
      <w:r>
        <w:rPr>
          <w:color w:val="5983B0"/>
          <w:u w:val="single"/>
        </w:rPr>
        <w:t>UNIPROT</w:t>
      </w:r>
    </w:p>
    <w:p>
      <w:pPr>
        <w:pStyle w:val="Normal"/>
        <w:ind w:hanging="0" w:start="0"/>
        <w:rPr>
          <w:color w:val="5983B0"/>
        </w:rPr>
      </w:pPr>
      <w:r>
        <w:rPr>
          <w:color w:val="5983B0"/>
        </w:rPr>
        <w:t xml:space="preserve">La variante c.2396-1G&gt;T afecta al sitio aceptor de splicing situado inmediatamente antes del exón 17 del gen LEPR. El análisis mediante BDGP predice la pérdida del </w:t>
      </w:r>
    </w:p>
    <w:p>
      <w:pPr>
        <w:pStyle w:val="Normal"/>
        <w:ind w:hanging="0" w:start="0"/>
        <w:rPr>
          <w:color w:val="5983B0"/>
        </w:rPr>
      </w:pPr>
      <w:r>
        <w:rPr>
          <w:color w:val="5983B0"/>
        </w:rPr>
        <w:t xml:space="preserve">sitio aceptor canónico, mientras que Cryp-Skip no predice una activación significativa de sitios crípticos de splicing (PCR-E = 0,11). En consecuencia, el resultado </w:t>
      </w:r>
    </w:p>
    <w:p>
      <w:pPr>
        <w:pStyle w:val="Normal"/>
        <w:ind w:hanging="0" w:start="0"/>
        <w:rPr>
          <w:color w:val="5983B0"/>
        </w:rPr>
      </w:pPr>
      <w:r>
        <w:rPr>
          <w:color w:val="5983B0"/>
        </w:rPr>
        <w:t>más probable sería el salto completo del exón 17.</w:t>
      </w:r>
    </w:p>
    <w:p>
      <w:pPr>
        <w:pStyle w:val="Normal"/>
        <w:ind w:hanging="0" w:start="0"/>
        <w:rPr>
          <w:color w:val="5983B0"/>
        </w:rPr>
      </w:pPr>
      <w:r>
        <w:rPr>
          <w:color w:val="5983B0"/>
        </w:rPr>
        <w:t>El exón 17 tiene una longitud de 96 pb y codifica aproximadamente 32 aminoácidos localizados alrededor de los residuos 743–774 de la proteína LEPR. Según UniProt, estaregión se encuentra dentro del dominio Fibronectin type III (PS50853), que se extiende aproximadamente desde el aminoácido 239 hasta el 833.</w:t>
      </w:r>
    </w:p>
    <w:p>
      <w:pPr>
        <w:pStyle w:val="Normal"/>
        <w:ind w:hanging="0" w:start="0"/>
        <w:rPr>
          <w:color w:val="5983B0"/>
        </w:rPr>
      </w:pPr>
      <w:r>
        <w:rPr>
          <w:color w:val="5983B0"/>
        </w:rPr>
        <w:t xml:space="preserve">La pérdida del exón 17 provocaría una deleción interna de 32 aminoácidos dentro de dicho dominio. Dado que la deleción corresponde a un número múltiplo de tres </w:t>
      </w:r>
    </w:p>
    <w:p>
      <w:pPr>
        <w:pStyle w:val="Normal"/>
        <w:ind w:hanging="0" w:start="0"/>
        <w:rPr>
          <w:color w:val="5983B0"/>
        </w:rPr>
      </w:pPr>
      <w:r>
        <w:rPr>
          <w:color w:val="5983B0"/>
        </w:rPr>
        <w:t>nucleótidos (96 pb), no produciría un cambio del marco de lectura (frameshift). No obstante, podría alterar la estructura o función del dominio Fibronectin type III al</w:t>
      </w:r>
    </w:p>
    <w:p>
      <w:pPr>
        <w:pStyle w:val="Normal"/>
        <w:ind w:hanging="0" w:start="0"/>
        <w:rPr>
          <w:color w:val="5983B0"/>
        </w:rPr>
      </w:pPr>
      <w:r>
        <w:rPr>
          <w:color w:val="5983B0"/>
        </w:rPr>
        <w:t>eliminar parte de su secuencia.</w:t>
      </w:r>
    </w:p>
    <w:p>
      <w:pPr>
        <w:pStyle w:val="Normal"/>
        <w:rPr/>
      </w:pPr>
      <w:r>
        <w:rPr/>
      </w:r>
    </w:p>
    <w:p>
      <w:pPr>
        <w:pStyle w:val="Normal"/>
        <w:rPr/>
      </w:pPr>
      <w:r>
        <w:rPr/>
      </w:r>
    </w:p>
    <w:p>
      <w:pPr>
        <w:pStyle w:val="Vietaprimernivel"/>
        <w:numPr>
          <w:ilvl w:val="0"/>
          <w:numId w:val="2"/>
        </w:numPr>
        <w:spacing w:before="0" w:after="0"/>
        <w:ind w:hanging="284" w:start="284"/>
        <w:rPr/>
        <w:sectPr>
          <w:headerReference w:type="even" r:id="rId28"/>
          <w:headerReference w:type="default" r:id="rId29"/>
          <w:headerReference w:type="first" r:id="rId30"/>
          <w:footerReference w:type="even" r:id="rId31"/>
          <w:footerReference w:type="default" r:id="rId32"/>
          <w:footerReference w:type="first" r:id="rId33"/>
          <w:type w:val="nextPage"/>
          <w:pgSz w:w="11906" w:h="16838"/>
          <w:pgMar w:left="1843" w:right="1843" w:gutter="0" w:header="680" w:top="1418" w:footer="510" w:bottom="1418"/>
          <w:pgNumType w:fmt="decimal"/>
          <w:formProt w:val="false"/>
          <w:textDirection w:val="lrTb"/>
          <w:docGrid w:type="default" w:linePitch="360" w:charSpace="0"/>
        </w:sectPr>
      </w:pPr>
      <w:r>
        <w:rPr/>
        <w:t xml:space="preserve">Para cualquier tipo de mutación, consultad en la base de datos </w:t>
      </w:r>
      <w:hyperlink r:id="rId27">
        <w:r>
          <w:rPr>
            <w:rStyle w:val="Style7"/>
            <w:color w:themeColor="hyperlink" w:val="0098CD"/>
            <w:u w:val="single"/>
          </w:rPr>
          <w:t>OMIM</w:t>
        </w:r>
      </w:hyperlink>
      <w:r>
        <w:rPr/>
        <w:t xml:space="preserve"> si existe una asociación de las variantes detectadas con una </w:t>
      </w:r>
      <w:r>
        <w:rPr>
          <w:b/>
          <w:bCs/>
        </w:rPr>
        <w:t>patología,</w:t>
      </w:r>
      <w:r>
        <w:rPr/>
        <w:t xml:space="preserve"> el</w:t>
      </w:r>
      <w:r>
        <w:rPr>
          <w:b/>
          <w:bCs/>
        </w:rPr>
        <w:t xml:space="preserve"> MIM de la patología </w:t>
      </w:r>
      <w:r>
        <w:rPr/>
        <w:t>y el</w:t>
      </w:r>
      <w:r>
        <w:rPr>
          <w:b/>
          <w:bCs/>
        </w:rPr>
        <w:t xml:space="preserve"> patrón de herencia</w:t>
      </w:r>
      <w:r>
        <w:rPr/>
        <w:t>.</w:t>
      </w:r>
    </w:p>
    <w:tbl>
      <w:tblPr>
        <w:tblW w:w="14520" w:type="dxa"/>
        <w:jc w:val="start"/>
        <w:tblInd w:w="-5" w:type="dxa"/>
        <w:tblLayout w:type="fixed"/>
        <w:tblCellMar>
          <w:top w:w="55" w:type="dxa"/>
          <w:start w:w="55" w:type="dxa"/>
          <w:bottom w:w="55" w:type="dxa"/>
          <w:end w:w="55" w:type="dxa"/>
        </w:tblCellMar>
      </w:tblPr>
      <w:tblGrid>
        <w:gridCol w:w="519"/>
        <w:gridCol w:w="729"/>
        <w:gridCol w:w="1872"/>
        <w:gridCol w:w="2663"/>
        <w:gridCol w:w="1704"/>
        <w:gridCol w:w="1357"/>
        <w:gridCol w:w="5676"/>
      </w:tblGrid>
      <w:tr>
        <w:trPr/>
        <w:tc>
          <w:tcPr>
            <w:tcW w:w="519" w:type="dxa"/>
            <w:tcBorders>
              <w:top w:val="single" w:sz="4" w:space="0" w:color="000000"/>
              <w:start w:val="single" w:sz="4" w:space="0" w:color="000000"/>
              <w:bottom w:val="single" w:sz="4" w:space="0" w:color="000000"/>
            </w:tcBorders>
          </w:tcPr>
          <w:p>
            <w:pPr>
              <w:pStyle w:val="Contenidodelatablauser"/>
              <w:rPr/>
            </w:pPr>
            <w:r>
              <w:rPr/>
            </w:r>
          </w:p>
        </w:tc>
        <w:tc>
          <w:tcPr>
            <w:tcW w:w="729" w:type="dxa"/>
            <w:tcBorders>
              <w:top w:val="single" w:sz="4" w:space="0" w:color="000000"/>
              <w:start w:val="single" w:sz="4" w:space="0" w:color="000000"/>
              <w:bottom w:val="single" w:sz="4" w:space="0" w:color="000000"/>
            </w:tcBorders>
          </w:tcPr>
          <w:p>
            <w:pPr>
              <w:pStyle w:val="Contenidodelatablauser"/>
              <w:rPr/>
            </w:pPr>
            <w:r>
              <w:rPr/>
              <w:t>Gen</w:t>
            </w:r>
          </w:p>
        </w:tc>
        <w:tc>
          <w:tcPr>
            <w:tcW w:w="1872" w:type="dxa"/>
            <w:tcBorders>
              <w:top w:val="single" w:sz="4" w:space="0" w:color="000000"/>
              <w:start w:val="single" w:sz="4" w:space="0" w:color="000000"/>
              <w:bottom w:val="single" w:sz="4" w:space="0" w:color="000000"/>
            </w:tcBorders>
          </w:tcPr>
          <w:p>
            <w:pPr>
              <w:pStyle w:val="Contenidodelatablauser"/>
              <w:rPr/>
            </w:pPr>
            <w:r>
              <w:rPr/>
              <w:t xml:space="preserve">Variante asociada en nomenclatura c. y p. </w:t>
            </w:r>
          </w:p>
        </w:tc>
        <w:tc>
          <w:tcPr>
            <w:tcW w:w="2663" w:type="dxa"/>
            <w:tcBorders>
              <w:top w:val="single" w:sz="4" w:space="0" w:color="000000"/>
              <w:start w:val="single" w:sz="4" w:space="0" w:color="000000"/>
              <w:bottom w:val="single" w:sz="4" w:space="0" w:color="000000"/>
            </w:tcBorders>
          </w:tcPr>
          <w:p>
            <w:pPr>
              <w:pStyle w:val="Contenidodelatablauser"/>
              <w:rPr/>
            </w:pPr>
            <w:r>
              <w:rPr/>
              <w:t>Patología asociada</w:t>
            </w:r>
          </w:p>
        </w:tc>
        <w:tc>
          <w:tcPr>
            <w:tcW w:w="1704" w:type="dxa"/>
            <w:tcBorders>
              <w:top w:val="single" w:sz="4" w:space="0" w:color="000000"/>
              <w:start w:val="single" w:sz="4" w:space="0" w:color="000000"/>
              <w:bottom w:val="single" w:sz="4" w:space="0" w:color="000000"/>
            </w:tcBorders>
          </w:tcPr>
          <w:p>
            <w:pPr>
              <w:pStyle w:val="Contenidodelatablauser"/>
              <w:rPr/>
            </w:pPr>
            <w:r>
              <w:rPr/>
              <w:t>MIM patología</w:t>
            </w:r>
          </w:p>
        </w:tc>
        <w:tc>
          <w:tcPr>
            <w:tcW w:w="1357" w:type="dxa"/>
            <w:tcBorders>
              <w:top w:val="single" w:sz="4" w:space="0" w:color="000000"/>
              <w:start w:val="single" w:sz="4" w:space="0" w:color="000000"/>
              <w:bottom w:val="single" w:sz="4" w:space="0" w:color="000000"/>
            </w:tcBorders>
          </w:tcPr>
          <w:p>
            <w:pPr>
              <w:pStyle w:val="Contenidodelatablauser"/>
              <w:rPr/>
            </w:pPr>
            <w:r>
              <w:rPr/>
              <w:t>Patrón de herencia</w:t>
            </w:r>
          </w:p>
        </w:tc>
        <w:tc>
          <w:tcPr>
            <w:tcW w:w="5676" w:type="dxa"/>
            <w:tcBorders>
              <w:top w:val="single" w:sz="4" w:space="0" w:color="000000"/>
              <w:start w:val="single" w:sz="4" w:space="0" w:color="000000"/>
              <w:bottom w:val="single" w:sz="4" w:space="0" w:color="000000"/>
              <w:end w:val="single" w:sz="4" w:space="0" w:color="000000"/>
            </w:tcBorders>
          </w:tcPr>
          <w:p>
            <w:pPr>
              <w:pStyle w:val="Contenidodelatablauser"/>
              <w:rPr/>
            </w:pPr>
            <w:r>
              <w:rPr/>
              <w:t>Observaciones</w:t>
            </w:r>
          </w:p>
        </w:tc>
      </w:tr>
      <w:tr>
        <w:trPr/>
        <w:tc>
          <w:tcPr>
            <w:tcW w:w="519" w:type="dxa"/>
            <w:tcBorders>
              <w:start w:val="single" w:sz="4" w:space="0" w:color="000000"/>
              <w:bottom w:val="single" w:sz="4" w:space="0" w:color="000000"/>
            </w:tcBorders>
          </w:tcPr>
          <w:p>
            <w:pPr>
              <w:pStyle w:val="Contenidodelatablauser"/>
              <w:rPr/>
            </w:pPr>
            <w:r>
              <w:rPr/>
              <w:t>Bart</w:t>
            </w:r>
          </w:p>
        </w:tc>
        <w:tc>
          <w:tcPr>
            <w:tcW w:w="729" w:type="dxa"/>
            <w:tcBorders>
              <w:start w:val="single" w:sz="4" w:space="0" w:color="000000"/>
              <w:bottom w:val="single" w:sz="4" w:space="0" w:color="000000"/>
            </w:tcBorders>
          </w:tcPr>
          <w:p>
            <w:pPr>
              <w:pStyle w:val="Contenidodelatablauser"/>
              <w:rPr/>
            </w:pPr>
            <w:r>
              <w:rPr/>
              <w:t>LEPR</w:t>
            </w:r>
          </w:p>
        </w:tc>
        <w:tc>
          <w:tcPr>
            <w:tcW w:w="1872" w:type="dxa"/>
            <w:tcBorders>
              <w:start w:val="single" w:sz="4" w:space="0" w:color="000000"/>
              <w:bottom w:val="single" w:sz="4" w:space="0" w:color="000000"/>
            </w:tcBorders>
          </w:tcPr>
          <w:p>
            <w:pPr>
              <w:pStyle w:val="Contenidodelatablauser"/>
              <w:rPr/>
            </w:pPr>
            <w:r>
              <w:rPr/>
              <w:t xml:space="preserve">c.1790del;  p.Ser597IlefsTer20 </w:t>
            </w:r>
          </w:p>
        </w:tc>
        <w:tc>
          <w:tcPr>
            <w:tcW w:w="2663" w:type="dxa"/>
            <w:tcBorders>
              <w:start w:val="single" w:sz="4" w:space="0" w:color="000000"/>
              <w:bottom w:val="single" w:sz="4" w:space="0" w:color="000000"/>
            </w:tcBorders>
          </w:tcPr>
          <w:p>
            <w:pPr>
              <w:pStyle w:val="Contenidodelatablauser"/>
              <w:rPr/>
            </w:pPr>
            <w:r>
              <w:rPr/>
              <w:t xml:space="preserve"> </w:t>
            </w:r>
            <w:r>
              <w:rPr/>
              <w:t>Obesidad mórbida por deficiencia del receptor de leptina</w:t>
            </w:r>
          </w:p>
        </w:tc>
        <w:tc>
          <w:tcPr>
            <w:tcW w:w="1704" w:type="dxa"/>
            <w:tcBorders>
              <w:start w:val="single" w:sz="4" w:space="0" w:color="000000"/>
              <w:bottom w:val="single" w:sz="4" w:space="0" w:color="000000"/>
            </w:tcBorders>
          </w:tcPr>
          <w:p>
            <w:pPr>
              <w:pStyle w:val="Contenidodelatablauser"/>
              <w:rPr/>
            </w:pPr>
            <w:r>
              <w:rPr/>
              <w:t>614963</w:t>
            </w:r>
          </w:p>
        </w:tc>
        <w:tc>
          <w:tcPr>
            <w:tcW w:w="1357" w:type="dxa"/>
            <w:tcBorders>
              <w:start w:val="single" w:sz="4" w:space="0" w:color="000000"/>
              <w:bottom w:val="single" w:sz="4" w:space="0" w:color="000000"/>
            </w:tcBorders>
          </w:tcPr>
          <w:p>
            <w:pPr>
              <w:pStyle w:val="Contenidodelatablauser"/>
              <w:rPr/>
            </w:pPr>
            <w:r>
              <w:rPr/>
              <w:t xml:space="preserve"> </w:t>
            </w:r>
            <w:r>
              <w:rPr/>
              <w:t>Autosómica Recesiva (AR)</w:t>
            </w:r>
          </w:p>
        </w:tc>
        <w:tc>
          <w:tcPr>
            <w:tcW w:w="5676" w:type="dxa"/>
            <w:tcBorders>
              <w:start w:val="single" w:sz="4" w:space="0" w:color="000000"/>
              <w:bottom w:val="single" w:sz="4" w:space="0" w:color="000000"/>
              <w:end w:val="single" w:sz="4" w:space="0" w:color="000000"/>
            </w:tcBorders>
          </w:tcPr>
          <w:p>
            <w:pPr>
              <w:pStyle w:val="Contenidodelatablauser"/>
              <w:rPr/>
            </w:pPr>
            <w:r>
              <w:rPr/>
              <w:t>-</w:t>
            </w:r>
          </w:p>
        </w:tc>
      </w:tr>
      <w:tr>
        <w:trPr/>
        <w:tc>
          <w:tcPr>
            <w:tcW w:w="519" w:type="dxa"/>
            <w:tcBorders>
              <w:start w:val="single" w:sz="4" w:space="0" w:color="000000"/>
              <w:bottom w:val="single" w:sz="4" w:space="0" w:color="000000"/>
            </w:tcBorders>
          </w:tcPr>
          <w:p>
            <w:pPr>
              <w:pStyle w:val="Contenidodelatablauser"/>
              <w:rPr/>
            </w:pPr>
            <w:r>
              <w:rPr/>
              <w:t>Bart</w:t>
            </w:r>
          </w:p>
        </w:tc>
        <w:tc>
          <w:tcPr>
            <w:tcW w:w="729" w:type="dxa"/>
            <w:tcBorders>
              <w:start w:val="single" w:sz="4" w:space="0" w:color="000000"/>
              <w:bottom w:val="single" w:sz="4" w:space="0" w:color="000000"/>
            </w:tcBorders>
          </w:tcPr>
          <w:p>
            <w:pPr>
              <w:pStyle w:val="Contenidodelatablauser"/>
              <w:rPr/>
            </w:pPr>
            <w:r>
              <w:rPr/>
              <w:t>TP53</w:t>
            </w:r>
          </w:p>
        </w:tc>
        <w:tc>
          <w:tcPr>
            <w:tcW w:w="1872" w:type="dxa"/>
            <w:tcBorders>
              <w:start w:val="single" w:sz="4" w:space="0" w:color="000000"/>
              <w:bottom w:val="single" w:sz="4" w:space="0" w:color="000000"/>
            </w:tcBorders>
          </w:tcPr>
          <w:p>
            <w:pPr>
              <w:pStyle w:val="Contenidodelatablauser"/>
              <w:rPr/>
            </w:pPr>
            <w:r>
              <w:rPr/>
              <w:t>c.215C&gt;T;   p.Pro72Leu</w:t>
            </w:r>
          </w:p>
        </w:tc>
        <w:tc>
          <w:tcPr>
            <w:tcW w:w="2663" w:type="dxa"/>
            <w:tcBorders>
              <w:start w:val="single" w:sz="4" w:space="0" w:color="000000"/>
              <w:bottom w:val="single" w:sz="4" w:space="0" w:color="000000"/>
            </w:tcBorders>
          </w:tcPr>
          <w:p>
            <w:pPr>
              <w:pStyle w:val="Contenidodelatablauser"/>
              <w:rPr/>
            </w:pPr>
            <w:r>
              <w:rPr/>
              <w:t>Síndrome de Li-Fraumeni</w:t>
            </w:r>
          </w:p>
        </w:tc>
        <w:tc>
          <w:tcPr>
            <w:tcW w:w="1704" w:type="dxa"/>
            <w:tcBorders>
              <w:start w:val="single" w:sz="4" w:space="0" w:color="000000"/>
              <w:bottom w:val="single" w:sz="4" w:space="0" w:color="000000"/>
            </w:tcBorders>
          </w:tcPr>
          <w:p>
            <w:pPr>
              <w:pStyle w:val="Contenidodelatablauser"/>
              <w:rPr/>
            </w:pPr>
            <w:r>
              <w:rPr/>
              <w:t>151623</w:t>
            </w:r>
          </w:p>
        </w:tc>
        <w:tc>
          <w:tcPr>
            <w:tcW w:w="1357" w:type="dxa"/>
            <w:tcBorders>
              <w:start w:val="single" w:sz="4" w:space="0" w:color="000000"/>
              <w:bottom w:val="single" w:sz="4" w:space="0" w:color="000000"/>
            </w:tcBorders>
          </w:tcPr>
          <w:p>
            <w:pPr>
              <w:pStyle w:val="Contenidodelatablauser"/>
              <w:rPr/>
            </w:pPr>
            <w:r>
              <w:rPr/>
              <w:t>Autosómica Dominante (AD)</w:t>
            </w:r>
          </w:p>
        </w:tc>
        <w:tc>
          <w:tcPr>
            <w:tcW w:w="5676" w:type="dxa"/>
            <w:tcBorders>
              <w:start w:val="single" w:sz="4" w:space="0" w:color="000000"/>
              <w:bottom w:val="single" w:sz="4" w:space="0" w:color="000000"/>
              <w:end w:val="single" w:sz="4" w:space="0" w:color="000000"/>
            </w:tcBorders>
          </w:tcPr>
          <w:p>
            <w:pPr>
              <w:pStyle w:val="Contenidodelatablauser"/>
              <w:rPr/>
            </w:pPr>
            <w:r>
              <w:rPr/>
              <w:t>La variante p.Pro72Leu está clasificada en ClinVar como uncertain significance, por lo que actualmente no existe evidencia suficiente para considerarla causante del síndrome de Li-Fraumeni. Además,también fue evaluada para el Síndrome hereditario de predisposición de cáncer (Likely benign)</w:t>
            </w:r>
          </w:p>
        </w:tc>
      </w:tr>
      <w:tr>
        <w:trPr/>
        <w:tc>
          <w:tcPr>
            <w:tcW w:w="519" w:type="dxa"/>
            <w:tcBorders>
              <w:start w:val="single" w:sz="4" w:space="0" w:color="000000"/>
              <w:bottom w:val="single" w:sz="4" w:space="0" w:color="000000"/>
            </w:tcBorders>
          </w:tcPr>
          <w:p>
            <w:pPr>
              <w:pStyle w:val="Contenidodelatablauser"/>
              <w:rPr/>
            </w:pPr>
            <w:r>
              <w:rPr/>
              <w:t>Patty</w:t>
            </w:r>
          </w:p>
        </w:tc>
        <w:tc>
          <w:tcPr>
            <w:tcW w:w="729" w:type="dxa"/>
            <w:tcBorders>
              <w:start w:val="single" w:sz="4" w:space="0" w:color="000000"/>
              <w:bottom w:val="single" w:sz="4" w:space="0" w:color="000000"/>
            </w:tcBorders>
          </w:tcPr>
          <w:p>
            <w:pPr>
              <w:pStyle w:val="Contenidodelatablauser"/>
              <w:rPr/>
            </w:pPr>
            <w:r>
              <w:rPr/>
              <w:t>LEPR</w:t>
            </w:r>
          </w:p>
        </w:tc>
        <w:tc>
          <w:tcPr>
            <w:tcW w:w="1872" w:type="dxa"/>
            <w:tcBorders>
              <w:start w:val="single" w:sz="4" w:space="0" w:color="000000"/>
              <w:bottom w:val="single" w:sz="4" w:space="0" w:color="000000"/>
            </w:tcBorders>
          </w:tcPr>
          <w:p>
            <w:pPr>
              <w:pStyle w:val="Contenidodelatablauser"/>
              <w:rPr/>
            </w:pPr>
            <w:r>
              <w:rPr/>
              <w:t xml:space="preserve">c.1790del; p.Ser597IlefsTer20 </w:t>
            </w:r>
          </w:p>
        </w:tc>
        <w:tc>
          <w:tcPr>
            <w:tcW w:w="2663" w:type="dxa"/>
            <w:tcBorders>
              <w:start w:val="single" w:sz="4" w:space="0" w:color="000000"/>
              <w:bottom w:val="single" w:sz="4" w:space="0" w:color="000000"/>
            </w:tcBorders>
          </w:tcPr>
          <w:p>
            <w:pPr>
              <w:pStyle w:val="Contenidodelatablauser"/>
              <w:rPr/>
            </w:pPr>
            <w:r>
              <w:rPr/>
              <w:t>Obesidad mórbida por deficiencia del receptor de leptina</w:t>
            </w:r>
          </w:p>
        </w:tc>
        <w:tc>
          <w:tcPr>
            <w:tcW w:w="1704" w:type="dxa"/>
            <w:tcBorders>
              <w:start w:val="single" w:sz="4" w:space="0" w:color="000000"/>
              <w:bottom w:val="single" w:sz="4" w:space="0" w:color="000000"/>
            </w:tcBorders>
          </w:tcPr>
          <w:p>
            <w:pPr>
              <w:pStyle w:val="Contenidodelatablauser"/>
              <w:rPr/>
            </w:pPr>
            <w:r>
              <w:rPr/>
              <w:t>614963</w:t>
            </w:r>
          </w:p>
        </w:tc>
        <w:tc>
          <w:tcPr>
            <w:tcW w:w="1357" w:type="dxa"/>
            <w:tcBorders>
              <w:start w:val="single" w:sz="4" w:space="0" w:color="000000"/>
              <w:bottom w:val="single" w:sz="4" w:space="0" w:color="000000"/>
            </w:tcBorders>
          </w:tcPr>
          <w:p>
            <w:pPr>
              <w:pStyle w:val="Contenidodelatablauser"/>
              <w:rPr/>
            </w:pPr>
            <w:r>
              <w:rPr/>
              <w:t xml:space="preserve"> </w:t>
            </w:r>
            <w:r>
              <w:rPr/>
              <w:t>Autosómica Recesiva (AR)</w:t>
            </w:r>
          </w:p>
        </w:tc>
        <w:tc>
          <w:tcPr>
            <w:tcW w:w="5676" w:type="dxa"/>
            <w:tcBorders>
              <w:start w:val="single" w:sz="4" w:space="0" w:color="000000"/>
              <w:bottom w:val="single" w:sz="4" w:space="0" w:color="000000"/>
              <w:end w:val="single" w:sz="4" w:space="0" w:color="000000"/>
            </w:tcBorders>
          </w:tcPr>
          <w:p>
            <w:pPr>
              <w:pStyle w:val="Contenidodelatablauser"/>
              <w:rPr/>
            </w:pPr>
            <w:r>
              <w:rPr/>
              <w:t>-</w:t>
            </w:r>
          </w:p>
        </w:tc>
      </w:tr>
      <w:tr>
        <w:trPr/>
        <w:tc>
          <w:tcPr>
            <w:tcW w:w="519" w:type="dxa"/>
            <w:tcBorders>
              <w:start w:val="single" w:sz="4" w:space="0" w:color="000000"/>
              <w:bottom w:val="single" w:sz="4" w:space="0" w:color="000000"/>
            </w:tcBorders>
          </w:tcPr>
          <w:p>
            <w:pPr>
              <w:pStyle w:val="Contenidodelatablauser"/>
              <w:rPr/>
            </w:pPr>
            <w:r>
              <w:rPr/>
              <w:t>Patty</w:t>
            </w:r>
          </w:p>
        </w:tc>
        <w:tc>
          <w:tcPr>
            <w:tcW w:w="729" w:type="dxa"/>
            <w:tcBorders>
              <w:start w:val="single" w:sz="4" w:space="0" w:color="000000"/>
              <w:bottom w:val="single" w:sz="4" w:space="0" w:color="000000"/>
            </w:tcBorders>
          </w:tcPr>
          <w:p>
            <w:pPr>
              <w:pStyle w:val="Contenidodelatablauser"/>
              <w:rPr/>
            </w:pPr>
            <w:r>
              <w:rPr/>
              <w:t>LEPR</w:t>
            </w:r>
          </w:p>
        </w:tc>
        <w:tc>
          <w:tcPr>
            <w:tcW w:w="1872" w:type="dxa"/>
            <w:tcBorders>
              <w:start w:val="single" w:sz="4" w:space="0" w:color="000000"/>
              <w:bottom w:val="single" w:sz="4" w:space="0" w:color="000000"/>
            </w:tcBorders>
          </w:tcPr>
          <w:p>
            <w:pPr>
              <w:pStyle w:val="Contenidodelatablauser"/>
              <w:rPr/>
            </w:pPr>
            <w:r>
              <w:rPr/>
              <w:t>c.2396-1G&gt;T; N/A</w:t>
            </w:r>
          </w:p>
        </w:tc>
        <w:tc>
          <w:tcPr>
            <w:tcW w:w="2663" w:type="dxa"/>
            <w:tcBorders>
              <w:start w:val="single" w:sz="4" w:space="0" w:color="000000"/>
              <w:bottom w:val="single" w:sz="4" w:space="0" w:color="000000"/>
            </w:tcBorders>
          </w:tcPr>
          <w:p>
            <w:pPr>
              <w:pStyle w:val="Contenidodelatablauser"/>
              <w:rPr/>
            </w:pPr>
            <w:r>
              <w:rPr/>
              <w:t>Obesidad mórbida por deficiencia del receptor de leptina</w:t>
            </w:r>
          </w:p>
        </w:tc>
        <w:tc>
          <w:tcPr>
            <w:tcW w:w="1704" w:type="dxa"/>
            <w:tcBorders>
              <w:start w:val="single" w:sz="4" w:space="0" w:color="000000"/>
              <w:bottom w:val="single" w:sz="4" w:space="0" w:color="000000"/>
            </w:tcBorders>
          </w:tcPr>
          <w:p>
            <w:pPr>
              <w:pStyle w:val="Contenidodelatablauser"/>
              <w:rPr/>
            </w:pPr>
            <w:r>
              <w:rPr/>
              <w:t>614963</w:t>
            </w:r>
          </w:p>
        </w:tc>
        <w:tc>
          <w:tcPr>
            <w:tcW w:w="1357" w:type="dxa"/>
            <w:tcBorders>
              <w:start w:val="single" w:sz="4" w:space="0" w:color="000000"/>
              <w:bottom w:val="single" w:sz="4" w:space="0" w:color="000000"/>
            </w:tcBorders>
          </w:tcPr>
          <w:p>
            <w:pPr>
              <w:pStyle w:val="Contenidodelatablauser"/>
              <w:rPr/>
            </w:pPr>
            <w:r>
              <w:rPr/>
              <w:t>Autosómica Recesiva (AR)</w:t>
            </w:r>
          </w:p>
        </w:tc>
        <w:tc>
          <w:tcPr>
            <w:tcW w:w="5676" w:type="dxa"/>
            <w:tcBorders>
              <w:start w:val="single" w:sz="4" w:space="0" w:color="000000"/>
              <w:bottom w:val="single" w:sz="4" w:space="0" w:color="000000"/>
              <w:end w:val="single" w:sz="4" w:space="0" w:color="000000"/>
            </w:tcBorders>
          </w:tcPr>
          <w:p>
            <w:pPr>
              <w:pStyle w:val="Contenidodelatablauser"/>
              <w:rPr/>
            </w:pPr>
            <w:r>
              <w:rPr/>
              <w:t>La variante p.Ala210Val está clasificada en Clinvar como uncertain significance para los trastornos relacionados con MED12 y ¨Likely benign¨para el Síndrome FG. Por tanto, no hay evidencia suficiente para relacionarla de forma concluyente con ninguna de las patologías</w:t>
            </w:r>
          </w:p>
        </w:tc>
      </w:tr>
      <w:tr>
        <w:trPr/>
        <w:tc>
          <w:tcPr>
            <w:tcW w:w="519" w:type="dxa"/>
            <w:tcBorders>
              <w:start w:val="single" w:sz="4" w:space="0" w:color="000000"/>
              <w:bottom w:val="single" w:sz="4" w:space="0" w:color="000000"/>
            </w:tcBorders>
          </w:tcPr>
          <w:p>
            <w:pPr>
              <w:pStyle w:val="Contenidodelatablauser"/>
              <w:rPr/>
            </w:pPr>
            <w:r>
              <w:rPr/>
              <w:t>Patty</w:t>
            </w:r>
          </w:p>
        </w:tc>
        <w:tc>
          <w:tcPr>
            <w:tcW w:w="729" w:type="dxa"/>
            <w:tcBorders>
              <w:start w:val="single" w:sz="4" w:space="0" w:color="000000"/>
              <w:bottom w:val="single" w:sz="4" w:space="0" w:color="000000"/>
            </w:tcBorders>
          </w:tcPr>
          <w:p>
            <w:pPr>
              <w:pStyle w:val="Contenidodelatablauser"/>
              <w:rPr/>
            </w:pPr>
            <w:r>
              <w:rPr/>
              <w:t>MED12</w:t>
            </w:r>
          </w:p>
        </w:tc>
        <w:tc>
          <w:tcPr>
            <w:tcW w:w="1872" w:type="dxa"/>
            <w:tcBorders>
              <w:start w:val="single" w:sz="4" w:space="0" w:color="000000"/>
              <w:bottom w:val="single" w:sz="4" w:space="0" w:color="000000"/>
            </w:tcBorders>
          </w:tcPr>
          <w:p>
            <w:pPr>
              <w:pStyle w:val="Contenidodelatablauser"/>
              <w:rPr/>
            </w:pPr>
            <w:r>
              <w:rPr/>
              <w:t xml:space="preserve">c.629C&gt;T; p.Ala210Val </w:t>
            </w:r>
          </w:p>
        </w:tc>
        <w:tc>
          <w:tcPr>
            <w:tcW w:w="2663" w:type="dxa"/>
            <w:tcBorders>
              <w:start w:val="single" w:sz="4" w:space="0" w:color="000000"/>
              <w:bottom w:val="single" w:sz="4" w:space="0" w:color="000000"/>
            </w:tcBorders>
          </w:tcPr>
          <w:p>
            <w:pPr>
              <w:pStyle w:val="Contenidodelatablauser"/>
              <w:rPr/>
            </w:pPr>
            <w:r>
              <w:rPr/>
              <w:t>Síndrome FG y trastornos relacionados con MED12, como Síndrome FG tipo 1, Síndrome de Lujan, Síndrome de ohdo ligado al cromosoma X Síndrome de Hardikar y Discapacidad intelectual inespecífica</w:t>
            </w:r>
          </w:p>
        </w:tc>
        <w:tc>
          <w:tcPr>
            <w:tcW w:w="1704" w:type="dxa"/>
            <w:tcBorders>
              <w:start w:val="single" w:sz="4" w:space="0" w:color="000000"/>
              <w:bottom w:val="single" w:sz="4" w:space="0" w:color="000000"/>
            </w:tcBorders>
          </w:tcPr>
          <w:p>
            <w:pPr>
              <w:pStyle w:val="Contenidodelatablauser"/>
              <w:rPr/>
            </w:pPr>
            <w:r>
              <w:rPr/>
              <w:t>301068</w:t>
            </w:r>
          </w:p>
          <w:p>
            <w:pPr>
              <w:pStyle w:val="Contenidodelatablauser"/>
              <w:rPr/>
            </w:pPr>
            <w:r>
              <w:rPr/>
              <w:t>300895</w:t>
            </w:r>
          </w:p>
          <w:p>
            <w:pPr>
              <w:pStyle w:val="Contenidodelatablauser"/>
              <w:rPr/>
            </w:pPr>
            <w:r>
              <w:rPr/>
              <w:t>309520</w:t>
            </w:r>
          </w:p>
        </w:tc>
        <w:tc>
          <w:tcPr>
            <w:tcW w:w="1357" w:type="dxa"/>
            <w:tcBorders>
              <w:start w:val="single" w:sz="4" w:space="0" w:color="000000"/>
              <w:bottom w:val="single" w:sz="4" w:space="0" w:color="000000"/>
            </w:tcBorders>
          </w:tcPr>
          <w:p>
            <w:pPr>
              <w:pStyle w:val="Contenidodelatablauser"/>
              <w:rPr/>
            </w:pPr>
            <w:r>
              <w:rPr/>
              <w:t xml:space="preserve">Síndrome de Hardikar -&gt; ligada al cromosoma X dominante; las demás, ligada al cromosoma X -recesivas </w:t>
            </w:r>
          </w:p>
        </w:tc>
        <w:tc>
          <w:tcPr>
            <w:tcW w:w="5676" w:type="dxa"/>
            <w:tcBorders>
              <w:start w:val="single" w:sz="4" w:space="0" w:color="000000"/>
              <w:bottom w:val="single" w:sz="4" w:space="0" w:color="000000"/>
              <w:end w:val="single" w:sz="4" w:space="0" w:color="000000"/>
            </w:tcBorders>
          </w:tcPr>
          <w:p>
            <w:pPr>
              <w:pStyle w:val="Contenidodelatablauser"/>
              <w:rPr/>
            </w:pPr>
            <w:r>
              <w:rPr/>
              <w:t>-</w:t>
            </w:r>
          </w:p>
        </w:tc>
      </w:tr>
    </w:tbl>
    <w:p>
      <w:pPr>
        <w:pStyle w:val="Normal"/>
        <w:spacing w:before="0" w:after="0"/>
        <w:ind w:hanging="0" w:start="0"/>
        <w:rPr>
          <w:color w:val="5983B0"/>
        </w:rPr>
        <w:sectPr>
          <w:headerReference w:type="even" r:id="rId34"/>
          <w:headerReference w:type="default" r:id="rId35"/>
          <w:headerReference w:type="first" r:id="rId36"/>
          <w:footerReference w:type="even" r:id="rId37"/>
          <w:footerReference w:type="default" r:id="rId38"/>
          <w:footerReference w:type="first" r:id="rId39"/>
          <w:type w:val="nextPage"/>
          <w:pgSz w:orient="landscape" w:w="16838" w:h="11906"/>
          <w:pgMar w:left="1134" w:right="1134" w:gutter="0" w:header="0" w:top="1134" w:footer="0" w:bottom="1134"/>
          <w:pgNumType w:fmt="decimal"/>
          <w:formProt w:val="false"/>
          <w:textDirection w:val="lrTb"/>
          <w:docGrid w:type="default" w:linePitch="100" w:charSpace="0"/>
        </w:sectPr>
      </w:pPr>
      <w:r>
        <w:rPr>
          <w:color w:val="5983B0"/>
        </w:rPr>
      </w:r>
    </w:p>
    <w:p>
      <w:pPr>
        <w:pStyle w:val="Vietaprimernivel"/>
        <w:numPr>
          <w:ilvl w:val="0"/>
          <w:numId w:val="2"/>
        </w:numPr>
        <w:ind w:hanging="284" w:start="284"/>
        <w:rPr/>
      </w:pPr>
      <w:r>
        <w:rPr/>
        <w:t xml:space="preserve">Analizad en </w:t>
      </w:r>
      <w:hyperlink r:id="rId40">
        <w:r>
          <w:rPr>
            <w:rStyle w:val="Style7"/>
            <w:color w:themeColor="hyperlink" w:val="0098CD"/>
            <w:u w:val="single"/>
          </w:rPr>
          <w:t>Kegg Pathways</w:t>
        </w:r>
      </w:hyperlink>
      <w:r>
        <w:rPr/>
        <w:t xml:space="preserve"> o en </w:t>
      </w:r>
      <w:hyperlink r:id="rId41">
        <w:r>
          <w:rPr>
            <w:rStyle w:val="Style7"/>
            <w:color w:themeColor="hyperlink" w:val="0098CD"/>
            <w:u w:val="single"/>
          </w:rPr>
          <w:t>Reactome</w:t>
        </w:r>
      </w:hyperlink>
      <w:r>
        <w:rPr/>
        <w:t xml:space="preserve"> la </w:t>
      </w:r>
      <w:r>
        <w:rPr>
          <w:b/>
          <w:bCs/>
        </w:rPr>
        <w:t xml:space="preserve">ruta molecular </w:t>
      </w:r>
      <w:r>
        <w:rPr/>
        <w:t xml:space="preserve">en la que está implicada dicho gen y consultad en bibliografía científica contrastada el </w:t>
      </w:r>
      <w:r>
        <w:rPr>
          <w:b/>
          <w:bCs/>
        </w:rPr>
        <w:t>mecanismo molecular</w:t>
      </w:r>
      <w:r>
        <w:rPr/>
        <w:t xml:space="preserve"> por el cuál las mutaciones en ese gen producen obesidad.</w:t>
      </w:r>
    </w:p>
    <w:p>
      <w:pPr>
        <w:pStyle w:val="Normal"/>
        <w:rPr>
          <w:color w:val="5983B0"/>
        </w:rPr>
      </w:pPr>
      <w:r>
        <w:rPr>
          <w:color w:val="5983B0"/>
        </w:rPr>
        <w:t>El gen LEPR codifica el receptor de la leptina, una hormona producida por el tejido adiposo que participa en el control de la ingesta alimentaria y del balance  energético. Según la ruta "Signaling by Leptin" descrita en Reactome, la unión de la leptina a LEPR induce un cambio conformacional en el receptor que activa la  quinasa JAK2 asociada. A continuación, se desencadena una cascada de señalización que implica principalmente las vías JAK2/STAT3, PI3K/AKT y MAPK/ERK.</w:t>
      </w:r>
    </w:p>
    <w:p>
      <w:pPr>
        <w:pStyle w:val="Normal"/>
        <w:rPr>
          <w:color w:val="5983B0"/>
        </w:rPr>
      </w:pPr>
      <w:r>
        <w:rPr>
          <w:color w:val="5983B0"/>
        </w:rPr>
      </w:r>
    </w:p>
    <w:p>
      <w:pPr>
        <w:pStyle w:val="Normal"/>
        <w:rPr>
          <w:color w:val="5983B0"/>
        </w:rPr>
      </w:pPr>
      <w:r>
        <w:rPr>
          <w:color w:val="5983B0"/>
        </w:rPr>
        <w:t xml:space="preserve">La activación de STAT3 y STAT5 permite la regulación transcripcional de genes implicados en la sensación de saciedad y en la homeostasis energética. Por ello, la </w:t>
      </w:r>
    </w:p>
    <w:p>
      <w:pPr>
        <w:pStyle w:val="Normal"/>
        <w:rPr>
          <w:color w:val="5983B0"/>
        </w:rPr>
      </w:pPr>
      <w:r>
        <w:rPr>
          <w:color w:val="5983B0"/>
        </w:rPr>
        <w:t>correcta función de LEPR es esencial para que el organismo responda adecuadamente a las señales de leptina.</w:t>
      </w:r>
    </w:p>
    <w:p>
      <w:pPr>
        <w:pStyle w:val="Normal"/>
        <w:rPr>
          <w:color w:val="5983B0"/>
        </w:rPr>
      </w:pPr>
      <w:r>
        <w:rPr>
          <w:color w:val="5983B0"/>
        </w:rPr>
      </w:r>
    </w:p>
    <w:p>
      <w:pPr>
        <w:pStyle w:val="Normal"/>
        <w:rPr>
          <w:color w:val="5983B0"/>
        </w:rPr>
      </w:pPr>
      <w:r>
        <w:rPr>
          <w:color w:val="5983B0"/>
        </w:rPr>
        <w:t xml:space="preserve">Las mutaciones que afectan a LEPR pueden disminuir o abolir la capacidad del receptor para transmitir esta señal. Como consecuencia, el sistema nervioso central no detecta correctamente las reservas energéticas del organismo, generando una sensación persistente de hambre, aumento de la ingesta alimentaria (hiperfagia) y </w:t>
      </w:r>
    </w:p>
    <w:p>
      <w:pPr>
        <w:pStyle w:val="Normal"/>
        <w:rPr>
          <w:color w:val="5983B0"/>
        </w:rPr>
      </w:pPr>
      <w:r>
        <w:rPr>
          <w:color w:val="5983B0"/>
        </w:rPr>
        <w:t xml:space="preserve">desarrollo de obesidad. </w:t>
      </w:r>
    </w:p>
    <w:p>
      <w:pPr>
        <w:pStyle w:val="Normal"/>
        <w:rPr>
          <w:color w:val="5983B0"/>
        </w:rPr>
      </w:pPr>
      <w:r>
        <w:rPr>
          <w:color w:val="5983B0"/>
        </w:rPr>
      </w:r>
    </w:p>
    <w:p>
      <w:pPr>
        <w:pStyle w:val="Normal"/>
        <w:rPr>
          <w:color w:val="5983B0"/>
        </w:rPr>
      </w:pPr>
      <w:r>
        <w:rPr>
          <w:color w:val="5983B0"/>
        </w:rPr>
        <w:t>En nuestro caso, la variante c.2396-1G&gt;T podría alterar el proceso de splicing de LEPR, provocando el salto del exón 17 y la pérdida de una región localizada dentro del dominio Fibronectin type III. Esta alteración podría comprometer la función normal del receptor y reducir la eficacia de la señalización mediada por leptina.</w:t>
      </w:r>
    </w:p>
    <w:p>
      <w:pPr>
        <w:pStyle w:val="Normal"/>
        <w:rPr>
          <w:color w:val="5983B0"/>
        </w:rPr>
      </w:pPr>
      <w:r>
        <w:rPr>
          <w:color w:val="5983B0"/>
        </w:rPr>
      </w:r>
    </w:p>
    <w:p>
      <w:pPr>
        <w:pStyle w:val="Normal"/>
        <w:rPr>
          <w:color w:val="5983B0"/>
          <w:u w:val="single"/>
        </w:rPr>
      </w:pPr>
      <w:r>
        <w:rPr>
          <w:color w:val="5983B0"/>
          <w:u w:val="single"/>
        </w:rPr>
        <w:t>BIBLIOGRAFÍA</w:t>
      </w:r>
    </w:p>
    <w:p>
      <w:pPr>
        <w:pStyle w:val="Normal"/>
        <w:rPr>
          <w:color w:val="5983B0"/>
        </w:rPr>
      </w:pPr>
      <w:r>
        <w:rPr>
          <w:color w:val="5983B0"/>
        </w:rPr>
        <w:t xml:space="preserve">The LEPR gene: A multifaceted regulator of energy homeostasis, obesity pathogenesis, and metabolic health -&gt; </w:t>
      </w:r>
    </w:p>
    <w:p>
      <w:pPr>
        <w:pStyle w:val="Normal"/>
        <w:rPr>
          <w:color w:val="5983B0"/>
        </w:rPr>
      </w:pPr>
      <w:r>
        <w:rPr>
          <w:color w:val="5983B0"/>
        </w:rPr>
        <w:t>https://www.sciencedirect.com/science/article/abs/pii/S2773044125001123</w:t>
      </w:r>
    </w:p>
    <w:p>
      <w:pPr>
        <w:pStyle w:val="Normal"/>
        <w:rPr>
          <w:color w:val="5983B0"/>
        </w:rPr>
      </w:pPr>
      <w:r>
        <w:rPr>
          <w:color w:val="5983B0"/>
        </w:rPr>
      </w:r>
    </w:p>
    <w:p>
      <w:pPr>
        <w:pStyle w:val="Normal"/>
        <w:rPr>
          <w:color w:val="5983B0"/>
        </w:rPr>
      </w:pPr>
      <w:r>
        <w:rPr>
          <w:color w:val="5983B0"/>
        </w:rPr>
        <w:t>Leptin and leptin resistance in obesity: current evidence, mechanisms and future directions -&gt;</w:t>
      </w:r>
    </w:p>
    <w:p>
      <w:pPr>
        <w:pStyle w:val="Normal"/>
        <w:rPr>
          <w:color w:val="5983B0"/>
        </w:rPr>
      </w:pPr>
      <w:r>
        <w:rPr>
          <w:color w:val="5983B0"/>
        </w:rPr>
        <w:t>https://ec.bioscientifica.com/view/journals/ec/14/9/EC-25-0521.xml</w:t>
      </w:r>
    </w:p>
    <w:p>
      <w:pPr>
        <w:pStyle w:val="Normal"/>
        <w:rPr/>
      </w:pPr>
      <w:r>
        <w:rPr/>
      </w:r>
    </w:p>
    <w:p>
      <w:pPr>
        <w:pStyle w:val="Normal"/>
        <w:rPr/>
      </w:pPr>
      <w:r>
        <w:rPr/>
      </w:r>
    </w:p>
    <w:p>
      <w:pPr>
        <w:pStyle w:val="Normal"/>
        <w:rPr/>
      </w:pPr>
      <w:r>
        <w:rPr/>
        <w:t xml:space="preserve">Para la obtención de esta información, podréis recurrir al conjunto de herramientas y bases de datos como el navegador genómico </w:t>
      </w:r>
      <w:hyperlink r:id="rId42">
        <w:r>
          <w:rPr>
            <w:rStyle w:val="Style7"/>
            <w:color w:themeColor="hyperlink" w:val="0098CD"/>
            <w:u w:val="single"/>
          </w:rPr>
          <w:t>UCSC</w:t>
        </w:r>
      </w:hyperlink>
      <w:r>
        <w:rPr/>
        <w:t xml:space="preserve">, </w:t>
      </w:r>
      <w:hyperlink r:id="rId43">
        <w:r>
          <w:rPr>
            <w:rStyle w:val="Style7"/>
            <w:color w:themeColor="hyperlink" w:val="0098CD"/>
            <w:u w:val="single"/>
          </w:rPr>
          <w:t>ClinVar</w:t>
        </w:r>
      </w:hyperlink>
      <w:r>
        <w:rPr/>
        <w:t xml:space="preserve">, </w:t>
      </w:r>
      <w:hyperlink r:id="rId44">
        <w:r>
          <w:rPr>
            <w:rStyle w:val="Style7"/>
            <w:color w:themeColor="hyperlink" w:val="0098CD"/>
            <w:u w:val="single"/>
          </w:rPr>
          <w:t>dbSNP</w:t>
        </w:r>
      </w:hyperlink>
      <w:r>
        <w:rPr/>
        <w:t xml:space="preserve">, </w:t>
      </w:r>
      <w:hyperlink r:id="rId45">
        <w:r>
          <w:rPr>
            <w:rStyle w:val="Style7"/>
            <w:color w:themeColor="hyperlink" w:val="0098CD"/>
            <w:u w:val="single"/>
          </w:rPr>
          <w:t>OMIM</w:t>
        </w:r>
      </w:hyperlink>
      <w:r>
        <w:rPr/>
        <w:t xml:space="preserve"> o </w:t>
      </w:r>
      <w:hyperlink r:id="rId46">
        <w:r>
          <w:rPr>
            <w:rStyle w:val="Style7"/>
            <w:color w:themeColor="hyperlink" w:val="0098CD"/>
            <w:u w:val="single"/>
          </w:rPr>
          <w:t>NCBI Gene</w:t>
        </w:r>
      </w:hyperlink>
      <w:r>
        <w:rPr/>
        <w:t>, entre otros. Deberéis indicar en todo momento de dónde habéis extraído la información utilizada para responder a las cuestiones anteriores y justificar vuestras respuestas apropiadamente.</w:t>
      </w:r>
    </w:p>
    <w:p>
      <w:pPr>
        <w:pStyle w:val="Normal"/>
        <w:rPr/>
      </w:pPr>
      <w:r>
        <w:rPr/>
      </w:r>
    </w:p>
    <w:p>
      <w:pPr>
        <w:pStyle w:val="Normal"/>
        <w:rPr/>
      </w:pPr>
      <w:r>
        <w:rPr/>
      </w:r>
    </w:p>
    <w:p>
      <w:pPr>
        <w:pStyle w:val="TtuloApartado3"/>
        <w:rPr/>
      </w:pPr>
      <w:r>
        <w:rPr/>
        <w:t xml:space="preserve">Extensión y formato </w:t>
      </w:r>
    </w:p>
    <w:p>
      <w:pPr>
        <w:pStyle w:val="Normal"/>
        <w:rPr/>
      </w:pPr>
      <w:r>
        <w:rPr/>
      </w:r>
    </w:p>
    <w:p>
      <w:pPr>
        <w:pStyle w:val="Normal"/>
        <w:rPr/>
      </w:pPr>
      <w:r>
        <w:rPr/>
        <w:t>El informe se debe presentar en formato de póster científico (plantilla adjunta en PPT “Plantilla_poster_Bioinfo_4p_UNIR.pptx”) e incluir según las normas para el uso de la plantilla en las actividades grupales:</w:t>
      </w:r>
    </w:p>
    <w:p>
      <w:pPr>
        <w:pStyle w:val="Vietaprimernivel"/>
        <w:numPr>
          <w:ilvl w:val="0"/>
          <w:numId w:val="2"/>
        </w:numPr>
        <w:ind w:hanging="284" w:start="284"/>
        <w:rPr/>
      </w:pPr>
      <w:r>
        <w:rPr/>
        <w:t>Introducción.</w:t>
      </w:r>
    </w:p>
    <w:p>
      <w:pPr>
        <w:pStyle w:val="Vietaprimernivel"/>
        <w:numPr>
          <w:ilvl w:val="0"/>
          <w:numId w:val="2"/>
        </w:numPr>
        <w:ind w:hanging="284" w:start="284"/>
        <w:rPr/>
      </w:pPr>
      <w:r>
        <w:rPr/>
        <w:t>Metodología, indicando la URL de las herramientas empleadas.</w:t>
      </w:r>
    </w:p>
    <w:p>
      <w:pPr>
        <w:pStyle w:val="Vietaprimernivel"/>
        <w:numPr>
          <w:ilvl w:val="0"/>
          <w:numId w:val="2"/>
        </w:numPr>
        <w:ind w:hanging="284" w:start="284"/>
        <w:rPr/>
      </w:pPr>
      <w:r>
        <w:rPr/>
        <w:t>Resultados: para cada variante, indica la nomenclatura en g., c., p. con los identificadores correspondientes en cada caso. Incluye capturas de pantalla de los análisis realizados.</w:t>
      </w:r>
    </w:p>
    <w:p>
      <w:pPr>
        <w:pStyle w:val="Vietaprimernivel"/>
        <w:numPr>
          <w:ilvl w:val="0"/>
          <w:numId w:val="2"/>
        </w:numPr>
        <w:ind w:hanging="284" w:start="284"/>
        <w:rPr/>
      </w:pPr>
      <w:r>
        <w:rPr/>
        <w:t>Discusión: interpreta los resultados, indica si consideras las variantes patogénicas, si estuviesen asociadas a una enfermedad hereditaria y el patrón de herencia. Además, indica la ruta molecular y su posible asociación con la obesidad.</w:t>
      </w:r>
    </w:p>
    <w:p>
      <w:pPr>
        <w:pStyle w:val="Vietaprimernivel"/>
        <w:numPr>
          <w:ilvl w:val="0"/>
          <w:numId w:val="2"/>
        </w:numPr>
        <w:ind w:hanging="284" w:start="284"/>
        <w:rPr/>
      </w:pPr>
      <w:r>
        <w:rPr/>
        <w:t>Conclusiones.</w:t>
      </w:r>
    </w:p>
    <w:p>
      <w:pPr>
        <w:pStyle w:val="Normal"/>
        <w:rPr/>
      </w:pPr>
      <w:r>
        <w:rPr/>
      </w:r>
    </w:p>
    <w:p>
      <w:pPr>
        <w:pStyle w:val="Normal"/>
        <w:rPr/>
      </w:pPr>
      <w:r>
        <w:rPr/>
      </w:r>
    </w:p>
    <w:p>
      <w:pPr>
        <w:pStyle w:val="TtuloApartado3"/>
        <w:rPr/>
      </w:pPr>
      <w:r>
        <w:rPr/>
        <w:t>Criterios de evaluación</w:t>
      </w:r>
    </w:p>
    <w:p>
      <w:pPr>
        <w:pStyle w:val="Normal"/>
        <w:rPr/>
      </w:pPr>
      <w:r>
        <w:rPr/>
      </w:r>
    </w:p>
    <w:p>
      <w:pPr>
        <w:pStyle w:val="Normal"/>
        <w:jc w:val="center"/>
        <w:rPr/>
      </w:pPr>
      <w:r>
        <w:rPr/>
        <w:drawing>
          <wp:inline distT="0" distB="0" distL="0" distR="0">
            <wp:extent cx="3619500" cy="3451860"/>
            <wp:effectExtent l="0" t="0" r="0" b="0"/>
            <wp:docPr id="1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8"/>
                    <pic:cNvPicPr>
                      <a:picLocks noChangeAspect="1" noChangeArrowheads="1"/>
                    </pic:cNvPicPr>
                  </pic:nvPicPr>
                  <pic:blipFill>
                    <a:blip r:embed="rId47"/>
                    <a:stretch>
                      <a:fillRect/>
                    </a:stretch>
                  </pic:blipFill>
                  <pic:spPr bwMode="auto">
                    <a:xfrm>
                      <a:off x="0" y="0"/>
                      <a:ext cx="3619500" cy="3451860"/>
                    </a:xfrm>
                    <a:prstGeom prst="rect">
                      <a:avLst/>
                    </a:prstGeom>
                    <a:noFill/>
                  </pic:spPr>
                </pic:pic>
              </a:graphicData>
            </a:graphic>
          </wp:inline>
        </w:drawing>
      </w:r>
    </w:p>
    <w:sectPr>
      <w:headerReference w:type="even" r:id="rId48"/>
      <w:headerReference w:type="default" r:id="rId49"/>
      <w:headerReference w:type="first" r:id="rId50"/>
      <w:footerReference w:type="even" r:id="rId51"/>
      <w:footerReference w:type="default" r:id="rId52"/>
      <w:footerReference w:type="first" r:id="rId53"/>
      <w:type w:val="nextPage"/>
      <w:pgSz w:w="11906" w:h="16838"/>
      <w:pgMar w:left="1843" w:right="1843" w:gutter="0" w:header="680" w:top="1418" w:footer="510"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Georgia">
    <w:charset w:val="00" w:characterSet="windows-1252"/>
    <w:family w:val="roman"/>
    <w:pitch w:val="variable"/>
  </w:font>
  <w:font w:name="Calibri Light">
    <w:charset w:val="00" w:characterSet="windows-1252"/>
    <w:family w:val="swiss"/>
    <w:pitch w:val="variable"/>
  </w:font>
  <w:font w:name="Segoe UI">
    <w:charset w:val="00" w:characterSet="windows-1252"/>
    <w:family w:val="swiss"/>
    <w:pitch w:val="variable"/>
  </w:font>
  <w:font w:name="Consolas">
    <w:charset w:val="00" w:characterSet="windows-1252"/>
    <w:family w:val="roman"/>
    <w:pitch w:val="variable"/>
  </w:font>
  <w:font w:name="Liberation Sans">
    <w:altName w:val="Arial"/>
    <w:charset w:val="00" w:characterSet="windows-1252"/>
    <w:family w:val="swiss"/>
    <w:pitch w:val="variable"/>
  </w:font>
  <w:font w:name="Roboto">
    <w:charset w:val="00" w:characterSet="windows-1252"/>
    <w:family w:val="swiss"/>
    <w:pitch w:val="variable"/>
  </w:font>
  <w:font w:name="Wingdings 3">
    <w:charset w:val="02"/>
    <w:family w:val="roman"/>
    <w:pitch w:val="variable"/>
  </w:font>
  <w:font w:name="Wingdings">
    <w:charset w:val="02"/>
    <w:family w:val="auto"/>
    <w:pitch w:val="variable"/>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Asignatura"/>
      <w:ind w:hanging="0"/>
      <w:jc w:val="both"/>
      <w:rPr/>
    </w:pPr>
    <w:r>
      <w:rPr/>
    </w:r>
  </w:p>
  <w:p>
    <w:pPr>
      <w:pStyle w:val="PiedepginaSecciones"/>
      <w:spacing w:lineRule="auto" w:line="240" w:before="0" w:after="100"/>
      <w:jc w:val="end"/>
      <w:rPr/>
    </w:pPr>
    <w:r>
      <mc:AlternateContent>
        <mc:Choice Requires="wps">
          <w:drawing>
            <wp:anchor distT="0" distB="14605" distL="114300" distR="248285" simplePos="0" relativeHeight="9" behindDoc="1" locked="0" layoutInCell="0" allowOverlap="0" wp14:anchorId="2FFF6ED7">
              <wp:simplePos x="0" y="0"/>
              <wp:positionH relativeFrom="rightMargin">
                <wp:posOffset>144145</wp:posOffset>
              </wp:positionH>
              <wp:positionV relativeFrom="page">
                <wp:posOffset>9959975</wp:posOffset>
              </wp:positionV>
              <wp:extent cx="252095" cy="720090"/>
              <wp:effectExtent l="0" t="0" r="0" b="4445"/>
              <wp:wrapTight wrapText="bothSides">
                <wp:wrapPolygon edited="0">
                  <wp:start x="0" y="0"/>
                  <wp:lineTo x="0" y="21162"/>
                  <wp:lineTo x="19636" y="21162"/>
                  <wp:lineTo x="19636" y="0"/>
                  <wp:lineTo x="0" y="0"/>
                </wp:wrapPolygon>
              </wp:wrapTight>
              <wp:docPr id="6" name="Rectángulo 34"/>
              <a:graphic xmlns:a="http://schemas.openxmlformats.org/drawingml/2006/main">
                <a:graphicData uri="http://schemas.microsoft.com/office/word/2010/wordprocessingShape">
                  <wps:wsp>
                    <wps:cNvSpPr/>
                    <wps:spPr>
                      <a:xfrm>
                        <a:off x="0" y="0"/>
                        <a:ext cx="252000" cy="720000"/>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wps:style>
                    <wps:txbx>
                      <w:txbxContent>
                        <w:p>
                          <w:pPr>
                            <w:pStyle w:val="Contenidodelmarco"/>
                            <w:jc w:val="center"/>
                            <w:rPr>
                              <w:rFonts w:cs="UnitOT-Light"/>
                              <w:color w:themeColor="background1" w:val="FFFFFF"/>
                              <w:sz w:val="20"/>
                              <w:szCs w:val="20"/>
                            </w:rPr>
                          </w:pPr>
                          <w:r>
                            <w:rPr>
                              <w:rFonts w:cs="UnitOT-Light"/>
                              <w:color w:themeColor="background1" w:val="FFFFFF"/>
                              <w:sz w:val="20"/>
                              <w:szCs w:val="20"/>
                            </w:rPr>
                            <w:fldChar w:fldCharType="begin"/>
                          </w:r>
                          <w:r>
                            <w:rPr>
                              <w:rFonts w:cs="UnitOT-Light"/>
                              <w:color w:themeColor="background1" w:val="FFFFFF"/>
                              <w:sz w:val="20"/>
                              <w:szCs w:val="20"/>
                            </w:rPr>
                            <w:instrText xml:space="preserve"> PAGE </w:instrText>
                          </w:r>
                          <w:r>
                            <w:rPr>
                              <w:rFonts w:cs="UnitOT-Light"/>
                              <w:color w:themeColor="background1" w:val="FFFFFF"/>
                              <w:sz w:val="20"/>
                              <w:szCs w:val="20"/>
                            </w:rPr>
                            <w:fldChar w:fldCharType="separate"/>
                          </w:r>
                          <w:r>
                            <w:rPr>
                              <w:rFonts w:cs="UnitOT-Light"/>
                              <w:color w:themeColor="background1" w:val="FFFFFF"/>
                              <w:sz w:val="20"/>
                              <w:szCs w:val="20"/>
                            </w:rPr>
                            <w:t>3</w:t>
                          </w:r>
                          <w:r>
                            <w:rPr>
                              <w:rFonts w:cs="UnitOT-Light"/>
                              <w:color w:themeColor="background1" w:val="FFFFFF"/>
                              <w:sz w:val="20"/>
                              <w:szCs w:val="20"/>
                            </w:rPr>
                            <w:fldChar w:fldCharType="end"/>
                          </w:r>
                        </w:p>
                      </w:txbxContent>
                    </wps:txbx>
                    <wps:bodyPr lIns="0" tIns="144000" rIns="0" anchor="t">
                      <a:prstTxWarp prst="textNoShape"/>
                      <a:noAutofit/>
                    </wps:bodyPr>
                  </wps:wsp>
                </a:graphicData>
              </a:graphic>
            </wp:anchor>
          </w:drawing>
        </mc:Choice>
        <mc:Fallback>
          <w:pict>
            <v:rect id="shape_0" fillcolor="gray" stroked="f" o:allowincell="f" style="position:absolute;margin-left:11.35pt;margin-top:784.25pt;width:19.8pt;height:56.65pt;mso-wrap-style:square;v-text-anchor:top;mso-position-horizontal-relative:page;mso-position-vertical-relative:page" wp14:anchorId="2FFF6ED7">
              <v:fill o:detectmouseclick="t" type="solid" color2="#7f7f7f"/>
              <v:stroke color="#3465a4" weight="12600" joinstyle="miter" endcap="flat"/>
              <v:textbox>
                <w:txbxContent>
                  <w:p>
                    <w:pPr>
                      <w:pStyle w:val="Contenidodelmarco"/>
                      <w:jc w:val="center"/>
                      <w:rPr>
                        <w:rFonts w:cs="UnitOT-Light"/>
                        <w:color w:themeColor="background1" w:val="FFFFFF"/>
                        <w:sz w:val="20"/>
                        <w:szCs w:val="20"/>
                      </w:rPr>
                    </w:pPr>
                    <w:r>
                      <w:rPr>
                        <w:rFonts w:cs="UnitOT-Light"/>
                        <w:color w:themeColor="background1" w:val="FFFFFF"/>
                        <w:sz w:val="20"/>
                        <w:szCs w:val="20"/>
                      </w:rPr>
                      <w:fldChar w:fldCharType="begin"/>
                    </w:r>
                    <w:r>
                      <w:rPr>
                        <w:rFonts w:cs="UnitOT-Light"/>
                        <w:color w:themeColor="background1" w:val="FFFFFF"/>
                        <w:sz w:val="20"/>
                        <w:szCs w:val="20"/>
                      </w:rPr>
                      <w:instrText xml:space="preserve"> PAGE </w:instrText>
                    </w:r>
                    <w:r>
                      <w:rPr>
                        <w:rFonts w:cs="UnitOT-Light"/>
                        <w:color w:themeColor="background1" w:val="FFFFFF"/>
                        <w:sz w:val="20"/>
                        <w:szCs w:val="20"/>
                      </w:rPr>
                      <w:fldChar w:fldCharType="separate"/>
                    </w:r>
                    <w:r>
                      <w:rPr>
                        <w:rFonts w:cs="UnitOT-Light"/>
                        <w:color w:themeColor="background1" w:val="FFFFFF"/>
                        <w:sz w:val="20"/>
                        <w:szCs w:val="20"/>
                      </w:rPr>
                      <w:t>3</w:t>
                    </w:r>
                    <w:r>
                      <w:rPr>
                        <w:rFonts w:cs="UnitOT-Light"/>
                        <w:color w:themeColor="background1" w:val="FFFFFF"/>
                        <w:sz w:val="20"/>
                        <w:szCs w:val="20"/>
                      </w:rPr>
                      <w:fldChar w:fldCharType="end"/>
                    </w:r>
                  </w:p>
                </w:txbxContent>
              </v:textbox>
              <w10:wrap type="square"/>
            </v:rect>
          </w:pict>
        </mc:Fallback>
      </mc:AlternateContent>
    </w:r>
    <w:r>
      <w:rPr/>
      <w:t xml:space="preserve"> </w:t>
    </w:r>
    <w:r>
      <w:rPr/>
      <w:t>Actividades</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Asignatura"/>
      <w:ind w:hanging="0"/>
      <w:jc w:val="both"/>
      <w:rPr/>
    </w:pPr>
    <w:r>
      <w:rPr/>
    </w:r>
  </w:p>
  <w:p>
    <w:pPr>
      <w:pStyle w:val="PiedepginaSecciones"/>
      <w:spacing w:lineRule="auto" w:line="240" w:before="0" w:after="100"/>
      <w:jc w:val="end"/>
      <w:rPr/>
    </w:pPr>
    <w:r>
      <mc:AlternateContent>
        <mc:Choice Requires="wps">
          <w:drawing>
            <wp:anchor distT="0" distB="14605" distL="114300" distR="248285" simplePos="0" relativeHeight="9" behindDoc="1" locked="0" layoutInCell="0" allowOverlap="0" wp14:anchorId="2FFF6ED7">
              <wp:simplePos x="0" y="0"/>
              <wp:positionH relativeFrom="rightMargin">
                <wp:posOffset>144145</wp:posOffset>
              </wp:positionH>
              <wp:positionV relativeFrom="page">
                <wp:posOffset>9959975</wp:posOffset>
              </wp:positionV>
              <wp:extent cx="252095" cy="720090"/>
              <wp:effectExtent l="0" t="0" r="0" b="4445"/>
              <wp:wrapTight wrapText="bothSides">
                <wp:wrapPolygon edited="0">
                  <wp:start x="0" y="0"/>
                  <wp:lineTo x="0" y="21162"/>
                  <wp:lineTo x="19636" y="21162"/>
                  <wp:lineTo x="19636" y="0"/>
                  <wp:lineTo x="0" y="0"/>
                </wp:wrapPolygon>
              </wp:wrapTight>
              <wp:docPr id="7" name="Rectángulo 34"/>
              <a:graphic xmlns:a="http://schemas.openxmlformats.org/drawingml/2006/main">
                <a:graphicData uri="http://schemas.microsoft.com/office/word/2010/wordprocessingShape">
                  <wps:wsp>
                    <wps:cNvSpPr/>
                    <wps:spPr>
                      <a:xfrm>
                        <a:off x="0" y="0"/>
                        <a:ext cx="252000" cy="720000"/>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wps:style>
                    <wps:txbx>
                      <w:txbxContent>
                        <w:p>
                          <w:pPr>
                            <w:pStyle w:val="Contenidodelmarco"/>
                            <w:jc w:val="center"/>
                            <w:rPr>
                              <w:rFonts w:cs="UnitOT-Light"/>
                              <w:color w:themeColor="background1" w:val="FFFFFF"/>
                              <w:sz w:val="20"/>
                              <w:szCs w:val="20"/>
                            </w:rPr>
                          </w:pPr>
                          <w:r>
                            <w:rPr>
                              <w:rFonts w:cs="UnitOT-Light"/>
                              <w:color w:themeColor="background1" w:val="FFFFFF"/>
                              <w:sz w:val="20"/>
                              <w:szCs w:val="20"/>
                            </w:rPr>
                            <w:fldChar w:fldCharType="begin"/>
                          </w:r>
                          <w:r>
                            <w:rPr>
                              <w:rFonts w:cs="UnitOT-Light"/>
                              <w:color w:themeColor="background1" w:val="FFFFFF"/>
                              <w:sz w:val="20"/>
                              <w:szCs w:val="20"/>
                            </w:rPr>
                            <w:instrText xml:space="preserve"> PAGE </w:instrText>
                          </w:r>
                          <w:r>
                            <w:rPr>
                              <w:rFonts w:cs="UnitOT-Light"/>
                              <w:color w:themeColor="background1" w:val="FFFFFF"/>
                              <w:sz w:val="20"/>
                              <w:szCs w:val="20"/>
                            </w:rPr>
                            <w:fldChar w:fldCharType="separate"/>
                          </w:r>
                          <w:r>
                            <w:rPr>
                              <w:rFonts w:cs="UnitOT-Light"/>
                              <w:color w:themeColor="background1" w:val="FFFFFF"/>
                              <w:sz w:val="20"/>
                              <w:szCs w:val="20"/>
                            </w:rPr>
                            <w:t>3</w:t>
                          </w:r>
                          <w:r>
                            <w:rPr>
                              <w:rFonts w:cs="UnitOT-Light"/>
                              <w:color w:themeColor="background1" w:val="FFFFFF"/>
                              <w:sz w:val="20"/>
                              <w:szCs w:val="20"/>
                            </w:rPr>
                            <w:fldChar w:fldCharType="end"/>
                          </w:r>
                        </w:p>
                      </w:txbxContent>
                    </wps:txbx>
                    <wps:bodyPr lIns="0" tIns="144000" rIns="0" anchor="t">
                      <a:prstTxWarp prst="textNoShape"/>
                      <a:noAutofit/>
                    </wps:bodyPr>
                  </wps:wsp>
                </a:graphicData>
              </a:graphic>
            </wp:anchor>
          </w:drawing>
        </mc:Choice>
        <mc:Fallback>
          <w:pict>
            <v:rect id="shape_0" fillcolor="gray" stroked="f" o:allowincell="f" style="position:absolute;margin-left:11.35pt;margin-top:784.25pt;width:19.8pt;height:56.65pt;mso-wrap-style:square;v-text-anchor:top;mso-position-horizontal-relative:page;mso-position-vertical-relative:page" wp14:anchorId="2FFF6ED7">
              <v:fill o:detectmouseclick="t" type="solid" color2="#7f7f7f"/>
              <v:stroke color="#3465a4" weight="12600" joinstyle="miter" endcap="flat"/>
              <v:textbox>
                <w:txbxContent>
                  <w:p>
                    <w:pPr>
                      <w:pStyle w:val="Contenidodelmarco"/>
                      <w:jc w:val="center"/>
                      <w:rPr>
                        <w:rFonts w:cs="UnitOT-Light"/>
                        <w:color w:themeColor="background1" w:val="FFFFFF"/>
                        <w:sz w:val="20"/>
                        <w:szCs w:val="20"/>
                      </w:rPr>
                    </w:pPr>
                    <w:r>
                      <w:rPr>
                        <w:rFonts w:cs="UnitOT-Light"/>
                        <w:color w:themeColor="background1" w:val="FFFFFF"/>
                        <w:sz w:val="20"/>
                        <w:szCs w:val="20"/>
                      </w:rPr>
                      <w:fldChar w:fldCharType="begin"/>
                    </w:r>
                    <w:r>
                      <w:rPr>
                        <w:rFonts w:cs="UnitOT-Light"/>
                        <w:color w:themeColor="background1" w:val="FFFFFF"/>
                        <w:sz w:val="20"/>
                        <w:szCs w:val="20"/>
                      </w:rPr>
                      <w:instrText xml:space="preserve"> PAGE </w:instrText>
                    </w:r>
                    <w:r>
                      <w:rPr>
                        <w:rFonts w:cs="UnitOT-Light"/>
                        <w:color w:themeColor="background1" w:val="FFFFFF"/>
                        <w:sz w:val="20"/>
                        <w:szCs w:val="20"/>
                      </w:rPr>
                      <w:fldChar w:fldCharType="separate"/>
                    </w:r>
                    <w:r>
                      <w:rPr>
                        <w:rFonts w:cs="UnitOT-Light"/>
                        <w:color w:themeColor="background1" w:val="FFFFFF"/>
                        <w:sz w:val="20"/>
                        <w:szCs w:val="20"/>
                      </w:rPr>
                      <w:t>3</w:t>
                    </w:r>
                    <w:r>
                      <w:rPr>
                        <w:rFonts w:cs="UnitOT-Light"/>
                        <w:color w:themeColor="background1" w:val="FFFFFF"/>
                        <w:sz w:val="20"/>
                        <w:szCs w:val="20"/>
                      </w:rPr>
                      <w:fldChar w:fldCharType="end"/>
                    </w:r>
                  </w:p>
                </w:txbxContent>
              </v:textbox>
              <w10:wrap type="square"/>
            </v:rect>
          </w:pict>
        </mc:Fallback>
      </mc:AlternateContent>
    </w:r>
    <w:r>
      <w:rPr/>
      <w:t xml:space="preserve"> </w:t>
    </w:r>
    <w:r>
      <w:rPr/>
      <w:t>Actividades</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Asignatura"/>
      <w:ind w:hanging="0"/>
      <w:jc w:val="both"/>
      <w:rPr/>
    </w:pPr>
    <w:r>
      <w:rPr/>
    </w:r>
  </w:p>
  <w:p>
    <w:pPr>
      <w:pStyle w:val="PiedepginaSecciones"/>
      <w:spacing w:lineRule="auto" w:line="240" w:before="0" w:after="100"/>
      <w:jc w:val="end"/>
      <w:rPr/>
    </w:pPr>
    <w:r>
      <mc:AlternateContent>
        <mc:Choice Requires="wps">
          <w:drawing>
            <wp:anchor distT="0" distB="14605" distL="114300" distR="248285" simplePos="0" relativeHeight="19" behindDoc="1" locked="0" layoutInCell="0" allowOverlap="0" wp14:anchorId="2FFF6ED7">
              <wp:simplePos x="0" y="0"/>
              <wp:positionH relativeFrom="rightMargin">
                <wp:posOffset>144145</wp:posOffset>
              </wp:positionH>
              <wp:positionV relativeFrom="page">
                <wp:posOffset>9959975</wp:posOffset>
              </wp:positionV>
              <wp:extent cx="252095" cy="720090"/>
              <wp:effectExtent l="0" t="0" r="0" b="4445"/>
              <wp:wrapTight wrapText="bothSides">
                <wp:wrapPolygon edited="0">
                  <wp:start x="0" y="0"/>
                  <wp:lineTo x="0" y="21162"/>
                  <wp:lineTo x="19636" y="21162"/>
                  <wp:lineTo x="19636" y="0"/>
                  <wp:lineTo x="0" y="0"/>
                </wp:wrapPolygon>
              </wp:wrapTight>
              <wp:docPr id="9" name="Rectángulo 34"/>
              <a:graphic xmlns:a="http://schemas.openxmlformats.org/drawingml/2006/main">
                <a:graphicData uri="http://schemas.microsoft.com/office/word/2010/wordprocessingShape">
                  <wps:wsp>
                    <wps:cNvSpPr/>
                    <wps:spPr>
                      <a:xfrm>
                        <a:off x="0" y="0"/>
                        <a:ext cx="252000" cy="720000"/>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wps:style>
                    <wps:txbx>
                      <w:txbxContent>
                        <w:p>
                          <w:pPr>
                            <w:pStyle w:val="Contenidodelmarco"/>
                            <w:jc w:val="center"/>
                            <w:rPr>
                              <w:rFonts w:cs="UnitOT-Light"/>
                              <w:color w:themeColor="background1" w:val="FFFFFF"/>
                              <w:sz w:val="20"/>
                              <w:szCs w:val="20"/>
                            </w:rPr>
                          </w:pPr>
                          <w:r>
                            <w:rPr>
                              <w:rFonts w:cs="UnitOT-Light"/>
                              <w:color w:themeColor="background1" w:val="FFFFFF"/>
                              <w:sz w:val="20"/>
                              <w:szCs w:val="20"/>
                            </w:rPr>
                            <w:fldChar w:fldCharType="begin"/>
                          </w:r>
                          <w:r>
                            <w:rPr>
                              <w:rFonts w:cs="UnitOT-Light"/>
                              <w:color w:themeColor="background1" w:val="FFFFFF"/>
                              <w:sz w:val="20"/>
                              <w:szCs w:val="20"/>
                            </w:rPr>
                            <w:instrText xml:space="preserve"> PAGE </w:instrText>
                          </w:r>
                          <w:r>
                            <w:rPr>
                              <w:rFonts w:cs="UnitOT-Light"/>
                              <w:color w:themeColor="background1" w:val="FFFFFF"/>
                              <w:sz w:val="20"/>
                              <w:szCs w:val="20"/>
                            </w:rPr>
                            <w:fldChar w:fldCharType="separate"/>
                          </w:r>
                          <w:r>
                            <w:rPr>
                              <w:rFonts w:cs="UnitOT-Light"/>
                              <w:color w:themeColor="background1" w:val="FFFFFF"/>
                              <w:sz w:val="20"/>
                              <w:szCs w:val="20"/>
                            </w:rPr>
                            <w:t>10</w:t>
                          </w:r>
                          <w:r>
                            <w:rPr>
                              <w:rFonts w:cs="UnitOT-Light"/>
                              <w:color w:themeColor="background1" w:val="FFFFFF"/>
                              <w:sz w:val="20"/>
                              <w:szCs w:val="20"/>
                            </w:rPr>
                            <w:fldChar w:fldCharType="end"/>
                          </w:r>
                        </w:p>
                      </w:txbxContent>
                    </wps:txbx>
                    <wps:bodyPr lIns="0" tIns="144000" rIns="0" anchor="t">
                      <a:prstTxWarp prst="textNoShape"/>
                      <a:noAutofit/>
                    </wps:bodyPr>
                  </wps:wsp>
                </a:graphicData>
              </a:graphic>
            </wp:anchor>
          </w:drawing>
        </mc:Choice>
        <mc:Fallback>
          <w:pict>
            <v:rect id="shape_0" fillcolor="gray" stroked="f" o:allowincell="f" style="position:absolute;margin-left:11.35pt;margin-top:784.25pt;width:19.8pt;height:56.65pt;mso-wrap-style:square;v-text-anchor:top;mso-position-horizontal-relative:page;mso-position-vertical-relative:page" wp14:anchorId="2FFF6ED7">
              <v:fill o:detectmouseclick="t" type="solid" color2="#7f7f7f"/>
              <v:stroke color="#3465a4" weight="12600" joinstyle="miter" endcap="flat"/>
              <v:textbox>
                <w:txbxContent>
                  <w:p>
                    <w:pPr>
                      <w:pStyle w:val="Contenidodelmarco"/>
                      <w:jc w:val="center"/>
                      <w:rPr>
                        <w:rFonts w:cs="UnitOT-Light"/>
                        <w:color w:themeColor="background1" w:val="FFFFFF"/>
                        <w:sz w:val="20"/>
                        <w:szCs w:val="20"/>
                      </w:rPr>
                    </w:pPr>
                    <w:r>
                      <w:rPr>
                        <w:rFonts w:cs="UnitOT-Light"/>
                        <w:color w:themeColor="background1" w:val="FFFFFF"/>
                        <w:sz w:val="20"/>
                        <w:szCs w:val="20"/>
                      </w:rPr>
                      <w:fldChar w:fldCharType="begin"/>
                    </w:r>
                    <w:r>
                      <w:rPr>
                        <w:rFonts w:cs="UnitOT-Light"/>
                        <w:color w:themeColor="background1" w:val="FFFFFF"/>
                        <w:sz w:val="20"/>
                        <w:szCs w:val="20"/>
                      </w:rPr>
                      <w:instrText xml:space="preserve"> PAGE </w:instrText>
                    </w:r>
                    <w:r>
                      <w:rPr>
                        <w:rFonts w:cs="UnitOT-Light"/>
                        <w:color w:themeColor="background1" w:val="FFFFFF"/>
                        <w:sz w:val="20"/>
                        <w:szCs w:val="20"/>
                      </w:rPr>
                      <w:fldChar w:fldCharType="separate"/>
                    </w:r>
                    <w:r>
                      <w:rPr>
                        <w:rFonts w:cs="UnitOT-Light"/>
                        <w:color w:themeColor="background1" w:val="FFFFFF"/>
                        <w:sz w:val="20"/>
                        <w:szCs w:val="20"/>
                      </w:rPr>
                      <w:t>10</w:t>
                    </w:r>
                    <w:r>
                      <w:rPr>
                        <w:rFonts w:cs="UnitOT-Light"/>
                        <w:color w:themeColor="background1" w:val="FFFFFF"/>
                        <w:sz w:val="20"/>
                        <w:szCs w:val="20"/>
                      </w:rPr>
                      <w:fldChar w:fldCharType="end"/>
                    </w:r>
                  </w:p>
                </w:txbxContent>
              </v:textbox>
              <w10:wrap type="square"/>
            </v:rect>
          </w:pict>
        </mc:Fallback>
      </mc:AlternateContent>
    </w:r>
    <w:r>
      <w:rPr/>
      <w:t xml:space="preserve"> </w:t>
    </w:r>
    <w:r>
      <w:rPr/>
      <w:t>Actividades</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Asignatura"/>
      <w:ind w:hanging="0"/>
      <w:jc w:val="both"/>
      <w:rPr/>
    </w:pPr>
    <w:r>
      <w:rPr/>
    </w:r>
  </w:p>
  <w:p>
    <w:pPr>
      <w:pStyle w:val="PiedepginaSecciones"/>
      <w:spacing w:lineRule="auto" w:line="240" w:before="0" w:after="100"/>
      <w:jc w:val="end"/>
      <w:rPr/>
    </w:pPr>
    <w:r>
      <mc:AlternateContent>
        <mc:Choice Requires="wps">
          <w:drawing>
            <wp:anchor distT="0" distB="14605" distL="114300" distR="248285" simplePos="0" relativeHeight="19" behindDoc="1" locked="0" layoutInCell="0" allowOverlap="0" wp14:anchorId="2FFF6ED7">
              <wp:simplePos x="0" y="0"/>
              <wp:positionH relativeFrom="rightMargin">
                <wp:posOffset>144145</wp:posOffset>
              </wp:positionH>
              <wp:positionV relativeFrom="page">
                <wp:posOffset>9959975</wp:posOffset>
              </wp:positionV>
              <wp:extent cx="252095" cy="720090"/>
              <wp:effectExtent l="0" t="0" r="0" b="4445"/>
              <wp:wrapTight wrapText="bothSides">
                <wp:wrapPolygon edited="0">
                  <wp:start x="0" y="0"/>
                  <wp:lineTo x="0" y="21162"/>
                  <wp:lineTo x="19636" y="21162"/>
                  <wp:lineTo x="19636" y="0"/>
                  <wp:lineTo x="0" y="0"/>
                </wp:wrapPolygon>
              </wp:wrapTight>
              <wp:docPr id="10" name="Rectángulo 34"/>
              <a:graphic xmlns:a="http://schemas.openxmlformats.org/drawingml/2006/main">
                <a:graphicData uri="http://schemas.microsoft.com/office/word/2010/wordprocessingShape">
                  <wps:wsp>
                    <wps:cNvSpPr/>
                    <wps:spPr>
                      <a:xfrm>
                        <a:off x="0" y="0"/>
                        <a:ext cx="252000" cy="720000"/>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wps:style>
                    <wps:txbx>
                      <w:txbxContent>
                        <w:p>
                          <w:pPr>
                            <w:pStyle w:val="Contenidodelmarco"/>
                            <w:jc w:val="center"/>
                            <w:rPr>
                              <w:rFonts w:cs="UnitOT-Light"/>
                              <w:color w:themeColor="background1" w:val="FFFFFF"/>
                              <w:sz w:val="20"/>
                              <w:szCs w:val="20"/>
                            </w:rPr>
                          </w:pPr>
                          <w:r>
                            <w:rPr>
                              <w:rFonts w:cs="UnitOT-Light"/>
                              <w:color w:themeColor="background1" w:val="FFFFFF"/>
                              <w:sz w:val="20"/>
                              <w:szCs w:val="20"/>
                            </w:rPr>
                            <w:fldChar w:fldCharType="begin"/>
                          </w:r>
                          <w:r>
                            <w:rPr>
                              <w:rFonts w:cs="UnitOT-Light"/>
                              <w:color w:themeColor="background1" w:val="FFFFFF"/>
                              <w:sz w:val="20"/>
                              <w:szCs w:val="20"/>
                            </w:rPr>
                            <w:instrText xml:space="preserve"> PAGE </w:instrText>
                          </w:r>
                          <w:r>
                            <w:rPr>
                              <w:rFonts w:cs="UnitOT-Light"/>
                              <w:color w:themeColor="background1" w:val="FFFFFF"/>
                              <w:sz w:val="20"/>
                              <w:szCs w:val="20"/>
                            </w:rPr>
                            <w:fldChar w:fldCharType="separate"/>
                          </w:r>
                          <w:r>
                            <w:rPr>
                              <w:rFonts w:cs="UnitOT-Light"/>
                              <w:color w:themeColor="background1" w:val="FFFFFF"/>
                              <w:sz w:val="20"/>
                              <w:szCs w:val="20"/>
                            </w:rPr>
                            <w:t>10</w:t>
                          </w:r>
                          <w:r>
                            <w:rPr>
                              <w:rFonts w:cs="UnitOT-Light"/>
                              <w:color w:themeColor="background1" w:val="FFFFFF"/>
                              <w:sz w:val="20"/>
                              <w:szCs w:val="20"/>
                            </w:rPr>
                            <w:fldChar w:fldCharType="end"/>
                          </w:r>
                        </w:p>
                      </w:txbxContent>
                    </wps:txbx>
                    <wps:bodyPr lIns="0" tIns="144000" rIns="0" anchor="t">
                      <a:prstTxWarp prst="textNoShape"/>
                      <a:noAutofit/>
                    </wps:bodyPr>
                  </wps:wsp>
                </a:graphicData>
              </a:graphic>
            </wp:anchor>
          </w:drawing>
        </mc:Choice>
        <mc:Fallback>
          <w:pict>
            <v:rect id="shape_0" fillcolor="gray" stroked="f" o:allowincell="f" style="position:absolute;margin-left:11.35pt;margin-top:784.25pt;width:19.8pt;height:56.65pt;mso-wrap-style:square;v-text-anchor:top;mso-position-horizontal-relative:page;mso-position-vertical-relative:page" wp14:anchorId="2FFF6ED7">
              <v:fill o:detectmouseclick="t" type="solid" color2="#7f7f7f"/>
              <v:stroke color="#3465a4" weight="12600" joinstyle="miter" endcap="flat"/>
              <v:textbox>
                <w:txbxContent>
                  <w:p>
                    <w:pPr>
                      <w:pStyle w:val="Contenidodelmarco"/>
                      <w:jc w:val="center"/>
                      <w:rPr>
                        <w:rFonts w:cs="UnitOT-Light"/>
                        <w:color w:themeColor="background1" w:val="FFFFFF"/>
                        <w:sz w:val="20"/>
                        <w:szCs w:val="20"/>
                      </w:rPr>
                    </w:pPr>
                    <w:r>
                      <w:rPr>
                        <w:rFonts w:cs="UnitOT-Light"/>
                        <w:color w:themeColor="background1" w:val="FFFFFF"/>
                        <w:sz w:val="20"/>
                        <w:szCs w:val="20"/>
                      </w:rPr>
                      <w:fldChar w:fldCharType="begin"/>
                    </w:r>
                    <w:r>
                      <w:rPr>
                        <w:rFonts w:cs="UnitOT-Light"/>
                        <w:color w:themeColor="background1" w:val="FFFFFF"/>
                        <w:sz w:val="20"/>
                        <w:szCs w:val="20"/>
                      </w:rPr>
                      <w:instrText xml:space="preserve"> PAGE </w:instrText>
                    </w:r>
                    <w:r>
                      <w:rPr>
                        <w:rFonts w:cs="UnitOT-Light"/>
                        <w:color w:themeColor="background1" w:val="FFFFFF"/>
                        <w:sz w:val="20"/>
                        <w:szCs w:val="20"/>
                      </w:rPr>
                      <w:fldChar w:fldCharType="separate"/>
                    </w:r>
                    <w:r>
                      <w:rPr>
                        <w:rFonts w:cs="UnitOT-Light"/>
                        <w:color w:themeColor="background1" w:val="FFFFFF"/>
                        <w:sz w:val="20"/>
                        <w:szCs w:val="20"/>
                      </w:rPr>
                      <w:t>10</w:t>
                    </w:r>
                    <w:r>
                      <w:rPr>
                        <w:rFonts w:cs="UnitOT-Light"/>
                        <w:color w:themeColor="background1" w:val="FFFFFF"/>
                        <w:sz w:val="20"/>
                        <w:szCs w:val="20"/>
                      </w:rPr>
                      <w:fldChar w:fldCharType="end"/>
                    </w:r>
                  </w:p>
                </w:txbxContent>
              </v:textbox>
              <w10:wrap type="square"/>
            </v:rect>
          </w:pict>
        </mc:Fallback>
      </mc:AlternateContent>
    </w:r>
    <w:r>
      <w:rPr/>
      <w:t xml:space="preserve"> </w:t>
    </w:r>
    <w:r>
      <w:rPr/>
      <w:t>Actividades</w: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Asignatura"/>
      <w:ind w:hanging="0"/>
      <w:jc w:val="both"/>
      <w:rPr/>
    </w:pPr>
    <w:r>
      <w:rPr/>
    </w:r>
  </w:p>
  <w:p>
    <w:pPr>
      <w:pStyle w:val="PiedepginaSecciones"/>
      <w:spacing w:lineRule="auto" w:line="240" w:before="0" w:after="100"/>
      <w:jc w:val="end"/>
      <w:rPr/>
    </w:pPr>
    <w:r>
      <mc:AlternateContent>
        <mc:Choice Requires="wps">
          <w:drawing>
            <wp:anchor distT="0" distB="14605" distL="114300" distR="248285" simplePos="0" relativeHeight="25" behindDoc="1" locked="0" layoutInCell="0" allowOverlap="0" wp14:anchorId="2FFF6ED7">
              <wp:simplePos x="0" y="0"/>
              <wp:positionH relativeFrom="rightMargin">
                <wp:posOffset>144145</wp:posOffset>
              </wp:positionH>
              <wp:positionV relativeFrom="page">
                <wp:posOffset>9959975</wp:posOffset>
              </wp:positionV>
              <wp:extent cx="252095" cy="720090"/>
              <wp:effectExtent l="0" t="0" r="0" b="4445"/>
              <wp:wrapTight wrapText="bothSides">
                <wp:wrapPolygon edited="0">
                  <wp:start x="0" y="0"/>
                  <wp:lineTo x="0" y="21162"/>
                  <wp:lineTo x="19636" y="21162"/>
                  <wp:lineTo x="19636" y="0"/>
                  <wp:lineTo x="0" y="0"/>
                </wp:wrapPolygon>
              </wp:wrapTight>
              <wp:docPr id="12" name="Rectángulo 34"/>
              <a:graphic xmlns:a="http://schemas.openxmlformats.org/drawingml/2006/main">
                <a:graphicData uri="http://schemas.microsoft.com/office/word/2010/wordprocessingShape">
                  <wps:wsp>
                    <wps:cNvSpPr/>
                    <wps:spPr>
                      <a:xfrm>
                        <a:off x="0" y="0"/>
                        <a:ext cx="252000" cy="720000"/>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wps:style>
                    <wps:txbx>
                      <w:txbxContent>
                        <w:p>
                          <w:pPr>
                            <w:pStyle w:val="Contenidodelmarco"/>
                            <w:jc w:val="center"/>
                            <w:rPr>
                              <w:rFonts w:cs="UnitOT-Light"/>
                              <w:color w:themeColor="background1" w:val="FFFFFF"/>
                              <w:sz w:val="20"/>
                              <w:szCs w:val="20"/>
                            </w:rPr>
                          </w:pPr>
                          <w:r>
                            <w:rPr>
                              <w:rFonts w:cs="UnitOT-Light"/>
                              <w:color w:themeColor="background1" w:val="FFFFFF"/>
                              <w:sz w:val="20"/>
                              <w:szCs w:val="20"/>
                            </w:rPr>
                            <w:fldChar w:fldCharType="begin"/>
                          </w:r>
                          <w:r>
                            <w:rPr>
                              <w:rFonts w:cs="UnitOT-Light"/>
                              <w:color w:themeColor="background1" w:val="FFFFFF"/>
                              <w:sz w:val="20"/>
                              <w:szCs w:val="20"/>
                            </w:rPr>
                            <w:instrText xml:space="preserve"> PAGE </w:instrText>
                          </w:r>
                          <w:r>
                            <w:rPr>
                              <w:rFonts w:cs="UnitOT-Light"/>
                              <w:color w:themeColor="background1" w:val="FFFFFF"/>
                              <w:sz w:val="20"/>
                              <w:szCs w:val="20"/>
                            </w:rPr>
                            <w:fldChar w:fldCharType="separate"/>
                          </w:r>
                          <w:r>
                            <w:rPr>
                              <w:rFonts w:cs="UnitOT-Light"/>
                              <w:color w:themeColor="background1" w:val="FFFFFF"/>
                              <w:sz w:val="20"/>
                              <w:szCs w:val="20"/>
                            </w:rPr>
                            <w:t>15</w:t>
                          </w:r>
                          <w:r>
                            <w:rPr>
                              <w:rFonts w:cs="UnitOT-Light"/>
                              <w:color w:themeColor="background1" w:val="FFFFFF"/>
                              <w:sz w:val="20"/>
                              <w:szCs w:val="20"/>
                            </w:rPr>
                            <w:fldChar w:fldCharType="end"/>
                          </w:r>
                        </w:p>
                      </w:txbxContent>
                    </wps:txbx>
                    <wps:bodyPr lIns="0" tIns="144000" rIns="0" anchor="t">
                      <a:prstTxWarp prst="textNoShape"/>
                      <a:noAutofit/>
                    </wps:bodyPr>
                  </wps:wsp>
                </a:graphicData>
              </a:graphic>
            </wp:anchor>
          </w:drawing>
        </mc:Choice>
        <mc:Fallback>
          <w:pict>
            <v:rect id="shape_0" fillcolor="gray" stroked="f" o:allowincell="f" style="position:absolute;margin-left:11.35pt;margin-top:784.25pt;width:19.8pt;height:56.65pt;mso-wrap-style:square;v-text-anchor:top;mso-position-horizontal-relative:page;mso-position-vertical-relative:page" wp14:anchorId="2FFF6ED7">
              <v:fill o:detectmouseclick="t" type="solid" color2="#7f7f7f"/>
              <v:stroke color="#3465a4" weight="12600" joinstyle="miter" endcap="flat"/>
              <v:textbox>
                <w:txbxContent>
                  <w:p>
                    <w:pPr>
                      <w:pStyle w:val="Contenidodelmarco"/>
                      <w:jc w:val="center"/>
                      <w:rPr>
                        <w:rFonts w:cs="UnitOT-Light"/>
                        <w:color w:themeColor="background1" w:val="FFFFFF"/>
                        <w:sz w:val="20"/>
                        <w:szCs w:val="20"/>
                      </w:rPr>
                    </w:pPr>
                    <w:r>
                      <w:rPr>
                        <w:rFonts w:cs="UnitOT-Light"/>
                        <w:color w:themeColor="background1" w:val="FFFFFF"/>
                        <w:sz w:val="20"/>
                        <w:szCs w:val="20"/>
                      </w:rPr>
                      <w:fldChar w:fldCharType="begin"/>
                    </w:r>
                    <w:r>
                      <w:rPr>
                        <w:rFonts w:cs="UnitOT-Light"/>
                        <w:color w:themeColor="background1" w:val="FFFFFF"/>
                        <w:sz w:val="20"/>
                        <w:szCs w:val="20"/>
                      </w:rPr>
                      <w:instrText xml:space="preserve"> PAGE </w:instrText>
                    </w:r>
                    <w:r>
                      <w:rPr>
                        <w:rFonts w:cs="UnitOT-Light"/>
                        <w:color w:themeColor="background1" w:val="FFFFFF"/>
                        <w:sz w:val="20"/>
                        <w:szCs w:val="20"/>
                      </w:rPr>
                      <w:fldChar w:fldCharType="separate"/>
                    </w:r>
                    <w:r>
                      <w:rPr>
                        <w:rFonts w:cs="UnitOT-Light"/>
                        <w:color w:themeColor="background1" w:val="FFFFFF"/>
                        <w:sz w:val="20"/>
                        <w:szCs w:val="20"/>
                      </w:rPr>
                      <w:t>15</w:t>
                    </w:r>
                    <w:r>
                      <w:rPr>
                        <w:rFonts w:cs="UnitOT-Light"/>
                        <w:color w:themeColor="background1" w:val="FFFFFF"/>
                        <w:sz w:val="20"/>
                        <w:szCs w:val="20"/>
                      </w:rPr>
                      <w:fldChar w:fldCharType="end"/>
                    </w:r>
                  </w:p>
                </w:txbxContent>
              </v:textbox>
              <w10:wrap type="square"/>
            </v:rect>
          </w:pict>
        </mc:Fallback>
      </mc:AlternateContent>
    </w:r>
    <w:r>
      <w:rPr/>
      <w:t xml:space="preserve"> </w:t>
    </w:r>
    <w:r>
      <w:rPr/>
      <w:t>Actividades</w: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Asignatura"/>
      <w:ind w:hanging="0"/>
      <w:jc w:val="both"/>
      <w:rPr/>
    </w:pPr>
    <w:r>
      <w:rPr/>
    </w:r>
  </w:p>
  <w:p>
    <w:pPr>
      <w:pStyle w:val="PiedepginaSecciones"/>
      <w:spacing w:lineRule="auto" w:line="240" w:before="0" w:after="100"/>
      <w:jc w:val="end"/>
      <w:rPr/>
    </w:pPr>
    <w:r>
      <mc:AlternateContent>
        <mc:Choice Requires="wps">
          <w:drawing>
            <wp:anchor distT="0" distB="14605" distL="114300" distR="248285" simplePos="0" relativeHeight="25" behindDoc="1" locked="0" layoutInCell="0" allowOverlap="0" wp14:anchorId="2FFF6ED7">
              <wp:simplePos x="0" y="0"/>
              <wp:positionH relativeFrom="rightMargin">
                <wp:posOffset>144145</wp:posOffset>
              </wp:positionH>
              <wp:positionV relativeFrom="page">
                <wp:posOffset>9959975</wp:posOffset>
              </wp:positionV>
              <wp:extent cx="252095" cy="720090"/>
              <wp:effectExtent l="0" t="0" r="0" b="4445"/>
              <wp:wrapTight wrapText="bothSides">
                <wp:wrapPolygon edited="0">
                  <wp:start x="0" y="0"/>
                  <wp:lineTo x="0" y="21162"/>
                  <wp:lineTo x="19636" y="21162"/>
                  <wp:lineTo x="19636" y="0"/>
                  <wp:lineTo x="0" y="0"/>
                </wp:wrapPolygon>
              </wp:wrapTight>
              <wp:docPr id="13" name="Rectángulo 34"/>
              <a:graphic xmlns:a="http://schemas.openxmlformats.org/drawingml/2006/main">
                <a:graphicData uri="http://schemas.microsoft.com/office/word/2010/wordprocessingShape">
                  <wps:wsp>
                    <wps:cNvSpPr/>
                    <wps:spPr>
                      <a:xfrm>
                        <a:off x="0" y="0"/>
                        <a:ext cx="252000" cy="720000"/>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wps:style>
                    <wps:txbx>
                      <w:txbxContent>
                        <w:p>
                          <w:pPr>
                            <w:pStyle w:val="Contenidodelmarco"/>
                            <w:jc w:val="center"/>
                            <w:rPr>
                              <w:rFonts w:cs="UnitOT-Light"/>
                              <w:color w:themeColor="background1" w:val="FFFFFF"/>
                              <w:sz w:val="20"/>
                              <w:szCs w:val="20"/>
                            </w:rPr>
                          </w:pPr>
                          <w:r>
                            <w:rPr>
                              <w:rFonts w:cs="UnitOT-Light"/>
                              <w:color w:themeColor="background1" w:val="FFFFFF"/>
                              <w:sz w:val="20"/>
                              <w:szCs w:val="20"/>
                            </w:rPr>
                            <w:fldChar w:fldCharType="begin"/>
                          </w:r>
                          <w:r>
                            <w:rPr>
                              <w:rFonts w:cs="UnitOT-Light"/>
                              <w:color w:themeColor="background1" w:val="FFFFFF"/>
                              <w:sz w:val="20"/>
                              <w:szCs w:val="20"/>
                            </w:rPr>
                            <w:instrText xml:space="preserve"> PAGE </w:instrText>
                          </w:r>
                          <w:r>
                            <w:rPr>
                              <w:rFonts w:cs="UnitOT-Light"/>
                              <w:color w:themeColor="background1" w:val="FFFFFF"/>
                              <w:sz w:val="20"/>
                              <w:szCs w:val="20"/>
                            </w:rPr>
                            <w:fldChar w:fldCharType="separate"/>
                          </w:r>
                          <w:r>
                            <w:rPr>
                              <w:rFonts w:cs="UnitOT-Light"/>
                              <w:color w:themeColor="background1" w:val="FFFFFF"/>
                              <w:sz w:val="20"/>
                              <w:szCs w:val="20"/>
                            </w:rPr>
                            <w:t>15</w:t>
                          </w:r>
                          <w:r>
                            <w:rPr>
                              <w:rFonts w:cs="UnitOT-Light"/>
                              <w:color w:themeColor="background1" w:val="FFFFFF"/>
                              <w:sz w:val="20"/>
                              <w:szCs w:val="20"/>
                            </w:rPr>
                            <w:fldChar w:fldCharType="end"/>
                          </w:r>
                        </w:p>
                      </w:txbxContent>
                    </wps:txbx>
                    <wps:bodyPr lIns="0" tIns="144000" rIns="0" anchor="t">
                      <a:prstTxWarp prst="textNoShape"/>
                      <a:noAutofit/>
                    </wps:bodyPr>
                  </wps:wsp>
                </a:graphicData>
              </a:graphic>
            </wp:anchor>
          </w:drawing>
        </mc:Choice>
        <mc:Fallback>
          <w:pict>
            <v:rect id="shape_0" fillcolor="gray" stroked="f" o:allowincell="f" style="position:absolute;margin-left:11.35pt;margin-top:784.25pt;width:19.8pt;height:56.65pt;mso-wrap-style:square;v-text-anchor:top;mso-position-horizontal-relative:page;mso-position-vertical-relative:page" wp14:anchorId="2FFF6ED7">
              <v:fill o:detectmouseclick="t" type="solid" color2="#7f7f7f"/>
              <v:stroke color="#3465a4" weight="12600" joinstyle="miter" endcap="flat"/>
              <v:textbox>
                <w:txbxContent>
                  <w:p>
                    <w:pPr>
                      <w:pStyle w:val="Contenidodelmarco"/>
                      <w:jc w:val="center"/>
                      <w:rPr>
                        <w:rFonts w:cs="UnitOT-Light"/>
                        <w:color w:themeColor="background1" w:val="FFFFFF"/>
                        <w:sz w:val="20"/>
                        <w:szCs w:val="20"/>
                      </w:rPr>
                    </w:pPr>
                    <w:r>
                      <w:rPr>
                        <w:rFonts w:cs="UnitOT-Light"/>
                        <w:color w:themeColor="background1" w:val="FFFFFF"/>
                        <w:sz w:val="20"/>
                        <w:szCs w:val="20"/>
                      </w:rPr>
                      <w:fldChar w:fldCharType="begin"/>
                    </w:r>
                    <w:r>
                      <w:rPr>
                        <w:rFonts w:cs="UnitOT-Light"/>
                        <w:color w:themeColor="background1" w:val="FFFFFF"/>
                        <w:sz w:val="20"/>
                        <w:szCs w:val="20"/>
                      </w:rPr>
                      <w:instrText xml:space="preserve"> PAGE </w:instrText>
                    </w:r>
                    <w:r>
                      <w:rPr>
                        <w:rFonts w:cs="UnitOT-Light"/>
                        <w:color w:themeColor="background1" w:val="FFFFFF"/>
                        <w:sz w:val="20"/>
                        <w:szCs w:val="20"/>
                      </w:rPr>
                      <w:fldChar w:fldCharType="separate"/>
                    </w:r>
                    <w:r>
                      <w:rPr>
                        <w:rFonts w:cs="UnitOT-Light"/>
                        <w:color w:themeColor="background1" w:val="FFFFFF"/>
                        <w:sz w:val="20"/>
                        <w:szCs w:val="20"/>
                      </w:rPr>
                      <w:t>15</w:t>
                    </w:r>
                    <w:r>
                      <w:rPr>
                        <w:rFonts w:cs="UnitOT-Light"/>
                        <w:color w:themeColor="background1" w:val="FFFFFF"/>
                        <w:sz w:val="20"/>
                        <w:szCs w:val="20"/>
                      </w:rPr>
                      <w:fldChar w:fldCharType="end"/>
                    </w:r>
                  </w:p>
                </w:txbxContent>
              </v:textbox>
              <w10:wrap type="square"/>
            </v:rect>
          </w:pict>
        </mc:Fallback>
      </mc:AlternateContent>
    </w:r>
    <w:r>
      <w:rPr/>
      <w:t xml:space="preserve"> </w:t>
    </w:r>
    <w:r>
      <w:rPr/>
      <w:t>Actividades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t>Genética clínica y de poblaciones</w:t>
    </w:r>
  </w:p>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t>Genética clínica y de poblaciones</w:t>
    </w:r>
  </w:p>
  <w:p>
    <w:pPr>
      <w:pStyle w:val="Normal"/>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t>Genética clínica y de poblaciones</w:t>
    </w:r>
  </w:p>
  <w:p>
    <w:pPr>
      <w:pStyle w:val="Normal"/>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t>Genética clínica y de poblaciones</w:t>
    </w:r>
  </w:p>
  <w:p>
    <w:pPr>
      <w:pStyle w:val="Normal"/>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t>Genética clínica y de poblaciones</w:t>
    </w:r>
  </w:p>
  <w:p>
    <w:pPr>
      <w:pStyle w:val="Normal"/>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t>Genética clínica y de poblaciones</w:t>
    </w:r>
  </w:p>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center"/>
      <w:pPr>
        <w:tabs>
          <w:tab w:val="num" w:pos="0"/>
        </w:tabs>
        <w:ind w:start="284" w:hanging="284"/>
      </w:pPr>
      <w:rPr>
        <w:rFonts w:ascii="Calibri" w:hAnsi="Calibri"/>
        <w:b/>
        <w:color w:val="0098CD"/>
        <w:sz w:val="24"/>
      </w:rPr>
    </w:lvl>
    <w:lvl w:ilvl="1">
      <w:start w:val="1"/>
      <w:numFmt w:val="upperLetter"/>
      <w:lvlText w:val="%2."/>
      <w:lvlJc w:val="start"/>
      <w:pPr>
        <w:tabs>
          <w:tab w:val="num" w:pos="0"/>
        </w:tabs>
        <w:ind w:start="567" w:hanging="283"/>
      </w:pPr>
      <w:rPr>
        <w:rFonts w:ascii="Calibri" w:hAnsi="Calibri"/>
        <w:b w:val="false"/>
        <w:i w:val="false"/>
        <w:color w:val="333333"/>
        <w:sz w:val="24"/>
      </w:rPr>
    </w:lvl>
    <w:lvl w:ilvl="2">
      <w:start w:val="1"/>
      <w:numFmt w:val="lowerRoman"/>
      <w:lvlText w:val="%3."/>
      <w:lvlJc w:val="end"/>
      <w:pPr>
        <w:tabs>
          <w:tab w:val="num" w:pos="0"/>
        </w:tabs>
        <w:ind w:start="851" w:hanging="284"/>
      </w:pPr>
      <w:rPr>
        <w:rFonts w:ascii="Calibri" w:hAnsi="Calibri"/>
        <w:b w:val="false"/>
        <w:i w:val="false"/>
        <w:color w:val="333333"/>
        <w:sz w:val="24"/>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360" w:hanging="360"/>
      </w:pPr>
      <w:rPr>
        <w:rFonts w:ascii="Wingdings 3" w:hAnsi="Wingdings 3" w:cs="Wingdings 3"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360" w:hanging="360"/>
      </w:pPr>
      <w:rPr>
        <w:rFonts w:ascii="Symbol" w:hAnsi="Symbol" w:cs="Symbol" w:hint="default"/>
      </w:rPr>
    </w:lvl>
    <w:lvl w:ilvl="1">
      <w:start w:val="1"/>
      <w:numFmt w:val="bullet"/>
      <w:lvlText w:val=""/>
      <w:lvlJc w:val="start"/>
      <w:pPr>
        <w:tabs>
          <w:tab w:val="num" w:pos="0"/>
        </w:tabs>
        <w:ind w:start="1080" w:hanging="360"/>
      </w:pPr>
      <w:rPr>
        <w:rFonts w:ascii="Symbol" w:hAnsi="Symbol" w:cs="Symbol"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 w:asciiTheme="minorHAnsi" w:cstheme="minorBid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uiPriority="39" w:semiHidden="1" w:unhideWhenUsed="1"/>
    <w:lsdException w:name="toc 2" w:uiPriority="39" w:semiHidden="1"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uiPriority="24" w:semiHidden="1" w:unhideWhenUsed="1" w:qFormat="1"/>
    <w:lsdException w:name="caption" w:uiPriority="35" w:qFormat="1"/>
    <w:lsdException w:name="Title" w:uiPriority="1" w:qFormat="1"/>
    <w:lsdException w:name="Default Paragraph Font" w:uiPriority="1" w:semiHidden="1" w:unhideWhenUsed="1"/>
    <w:lsdException w:name="Subtitle" w:uiPriority="98" w:qFormat="1"/>
    <w:lsdException w:name="Hyperlink" w:semiHidden="1" w:unhideWhenUsed="1"/>
    <w:lsdException w:name="FollowedHyperlink" w:semiHidden="1" w:unhideWhenUsed="1"/>
    <w:lsdException w:name="Strong" w:uiPriority="22" w:semiHidden="1"/>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styleId="Normal" w:default="1">
    <w:name w:val="Normal"/>
    <w:qFormat/>
    <w:rsid w:val="00e51cee"/>
    <w:pPr>
      <w:widowControl/>
      <w:suppressAutoHyphens w:val="true"/>
      <w:bidi w:val="0"/>
      <w:spacing w:lineRule="auto" w:line="360" w:before="0" w:after="0"/>
      <w:jc w:val="both"/>
    </w:pPr>
    <w:rPr>
      <w:rFonts w:ascii="Calibri" w:hAnsi="Calibri" w:eastAsia="Times New Roman" w:cs="Times New Roman"/>
      <w:color w:val="333333"/>
      <w:kern w:val="0"/>
      <w:sz w:val="24"/>
      <w:szCs w:val="24"/>
      <w:lang w:val="es-ES" w:eastAsia="es-ES" w:bidi="ar-SA"/>
    </w:rPr>
  </w:style>
  <w:style w:type="paragraph" w:styleId="Heading1">
    <w:name w:val="heading 1"/>
    <w:next w:val="Normal"/>
    <w:link w:val="Ttulo1Car"/>
    <w:uiPriority w:val="99"/>
    <w:qFormat/>
    <w:rsid w:val="00507e5b"/>
    <w:pPr>
      <w:keepNext w:val="true"/>
      <w:keepLines/>
      <w:widowControl/>
      <w:suppressAutoHyphens w:val="true"/>
      <w:bidi w:val="0"/>
      <w:spacing w:lineRule="auto" w:line="360" w:before="0" w:after="200"/>
      <w:jc w:val="start"/>
      <w:outlineLvl w:val="0"/>
    </w:pPr>
    <w:rPr>
      <w:rFonts w:ascii="Georgia" w:hAnsi="Georgia" w:eastAsia="" w:cs="" w:cstheme="majorBidi" w:eastAsiaTheme="majorEastAsia"/>
      <w:color w:val="auto"/>
      <w:kern w:val="0"/>
      <w:sz w:val="51"/>
      <w:szCs w:val="32"/>
      <w:lang w:val="es-ES" w:eastAsia="es-ES" w:bidi="ar-SA"/>
    </w:rPr>
  </w:style>
  <w:style w:type="paragraph" w:styleId="Heading2">
    <w:name w:val="heading 2"/>
    <w:basedOn w:val="Normal"/>
    <w:next w:val="Normal"/>
    <w:link w:val="Ttulo2Car"/>
    <w:uiPriority w:val="99"/>
    <w:qFormat/>
    <w:rsid w:val="00507e5b"/>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rsid w:val="00a838e4"/>
    <w:rPr>
      <w:rFonts w:ascii="Calibri" w:hAnsi="Calibri"/>
      <w:color w:themeColor="hyperlink" w:val="0098CD"/>
      <w:sz w:val="24"/>
      <w:u w:val="single"/>
    </w:rPr>
  </w:style>
  <w:style w:type="character" w:styleId="Ttulo1Car" w:customStyle="1">
    <w:name w:val="Título 1 Car"/>
    <w:basedOn w:val="DefaultParagraphFont"/>
    <w:uiPriority w:val="99"/>
    <w:qFormat/>
    <w:rsid w:val="008d72f2"/>
    <w:rPr>
      <w:rFonts w:ascii="Georgia" w:hAnsi="Georgia" w:eastAsia="" w:cs="" w:cstheme="majorBidi" w:eastAsiaTheme="majorEastAsia"/>
      <w:sz w:val="51"/>
      <w:szCs w:val="32"/>
      <w:lang w:eastAsia="es-ES"/>
    </w:rPr>
  </w:style>
  <w:style w:type="character" w:styleId="Ttulo2Car" w:customStyle="1">
    <w:name w:val="Título 2 Car"/>
    <w:basedOn w:val="DefaultParagraphFont"/>
    <w:uiPriority w:val="99"/>
    <w:qFormat/>
    <w:rsid w:val="008d72f2"/>
    <w:rPr>
      <w:rFonts w:ascii="Calibri Light" w:hAnsi="Calibri Light" w:eastAsia="" w:cs="" w:asciiTheme="majorHAnsi" w:cstheme="majorBidi" w:eastAsiaTheme="majorEastAsia" w:hAnsiTheme="majorHAnsi"/>
      <w:color w:themeColor="accent1" w:themeShade="bf" w:val="2E74B5"/>
      <w:sz w:val="26"/>
      <w:szCs w:val="26"/>
      <w:lang w:eastAsia="es-ES"/>
    </w:rPr>
  </w:style>
  <w:style w:type="character" w:styleId="PiedepginaCar" w:customStyle="1">
    <w:name w:val="Pie de página Car"/>
    <w:basedOn w:val="DefaultParagraphFont"/>
    <w:uiPriority w:val="24"/>
    <w:qFormat/>
    <w:rsid w:val="008d72f2"/>
    <w:rPr>
      <w:rFonts w:ascii="Calibri" w:hAnsi="Calibri" w:cs="Times New Roman"/>
      <w:color w:val="333333"/>
      <w:sz w:val="24"/>
      <w:szCs w:val="24"/>
      <w:lang w:eastAsia="es-ES"/>
    </w:rPr>
  </w:style>
  <w:style w:type="character" w:styleId="TextonotapieCar" w:customStyle="1">
    <w:name w:val="Texto nota pie Car"/>
    <w:basedOn w:val="DefaultParagraphFont"/>
    <w:uiPriority w:val="99"/>
    <w:qFormat/>
    <w:rsid w:val="008d72f2"/>
    <w:rPr>
      <w:rFonts w:ascii="Calibri" w:hAnsi="Calibri" w:cs="Times New Roman"/>
      <w:color w:val="333333"/>
      <w:sz w:val="20"/>
      <w:szCs w:val="20"/>
      <w:lang w:eastAsia="es-ES"/>
    </w:rPr>
  </w:style>
  <w:style w:type="character" w:styleId="UnresolvedMention">
    <w:name w:val="Unresolved Mention"/>
    <w:basedOn w:val="DefaultParagraphFont"/>
    <w:uiPriority w:val="99"/>
    <w:qFormat/>
    <w:rsid w:val="004f66cc"/>
    <w:rPr>
      <w:color w:val="808080"/>
      <w:shd w:fill="E6E6E6" w:val="clear"/>
    </w:rPr>
  </w:style>
  <w:style w:type="character" w:styleId="TextodegloboCar" w:customStyle="1">
    <w:name w:val="Texto de globo Car"/>
    <w:basedOn w:val="DefaultParagraphFont"/>
    <w:link w:val="BalloonText"/>
    <w:uiPriority w:val="99"/>
    <w:qFormat/>
    <w:rsid w:val="008d72f2"/>
    <w:rPr>
      <w:rFonts w:ascii="Segoe UI" w:hAnsi="Segoe UI" w:cs="Segoe UI"/>
      <w:color w:val="333333"/>
      <w:sz w:val="18"/>
      <w:szCs w:val="18"/>
      <w:lang w:eastAsia="es-ES"/>
    </w:rPr>
  </w:style>
  <w:style w:type="character" w:styleId="TtuloCar" w:customStyle="1">
    <w:name w:val="Título Car"/>
    <w:basedOn w:val="DefaultParagraphFont"/>
    <w:uiPriority w:val="1"/>
    <w:qFormat/>
    <w:rsid w:val="00571d5e"/>
    <w:rPr>
      <w:rFonts w:ascii="Calibri" w:hAnsi="Calibri" w:eastAsia="Calibri" w:cs="Times New Roman"/>
      <w:b/>
      <w:bCs/>
      <w:color w:val="333333"/>
      <w:sz w:val="24"/>
      <w:szCs w:val="24"/>
      <w:lang w:eastAsia="ja-JP"/>
    </w:rPr>
  </w:style>
  <w:style w:type="character" w:styleId="Cdigofuenteinline" w:customStyle="1">
    <w:name w:val="Código fuente inline"/>
    <w:basedOn w:val="HTMLCode"/>
    <w:uiPriority w:val="1"/>
    <w:qFormat/>
    <w:rsid w:val="0047123b"/>
    <w:rPr>
      <w:rFonts w:ascii="Consolas" w:hAnsi="Consolas"/>
      <w:sz w:val="20"/>
      <w:szCs w:val="20"/>
    </w:rPr>
  </w:style>
  <w:style w:type="character" w:styleId="HTMLCode">
    <w:name w:val="HTML Code"/>
    <w:basedOn w:val="DefaultParagraphFont"/>
    <w:uiPriority w:val="99"/>
    <w:qFormat/>
    <w:rsid w:val="0047123b"/>
    <w:rPr>
      <w:rFonts w:ascii="Consolas" w:hAnsi="Consolas"/>
      <w:sz w:val="20"/>
      <w:szCs w:val="20"/>
    </w:rPr>
  </w:style>
  <w:style w:type="character" w:styleId="EncabezadoCar" w:customStyle="1">
    <w:name w:val="Encabezado Car"/>
    <w:basedOn w:val="DefaultParagraphFont"/>
    <w:uiPriority w:val="99"/>
    <w:semiHidden/>
    <w:qFormat/>
    <w:rsid w:val="009b417c"/>
    <w:rPr>
      <w:rFonts w:ascii="Calibri" w:hAnsi="Calibri" w:cs="Times New Roman"/>
      <w:color w:val="333333"/>
      <w:sz w:val="24"/>
      <w:szCs w:val="24"/>
      <w:lang w:eastAsia="es-ES"/>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PiedepginaSecciones" w:customStyle="1">
    <w:name w:val="Pie de página_Secciones"/>
    <w:basedOn w:val="Normal"/>
    <w:uiPriority w:val="19"/>
    <w:qFormat/>
    <w:rsid w:val="00571d5e"/>
    <w:pPr>
      <w:tabs>
        <w:tab w:val="clear" w:pos="709"/>
        <w:tab w:val="right" w:pos="8220" w:leader="none"/>
      </w:tabs>
      <w:spacing w:lineRule="auto" w:line="240" w:before="0" w:after="100"/>
      <w:jc w:val="end"/>
    </w:pPr>
    <w:rPr>
      <w:rFonts w:cs="UnitOT-Light"/>
      <w:bCs/>
      <w:sz w:val="20"/>
      <w:szCs w:val="20"/>
    </w:rPr>
  </w:style>
  <w:style w:type="paragraph" w:styleId="PiedepginaAsignatura" w:customStyle="1">
    <w:name w:val="Pie de página_Asignatura"/>
    <w:basedOn w:val="Normal"/>
    <w:uiPriority w:val="18"/>
    <w:qFormat/>
    <w:rsid w:val="00525591"/>
    <w:pPr>
      <w:spacing w:lineRule="auto" w:line="276"/>
      <w:ind w:firstLine="3686"/>
      <w:jc w:val="end"/>
    </w:pPr>
    <w:rPr>
      <w:rFonts w:cs="UnitOT-Light"/>
      <w:bCs/>
      <w:color w:val="777777"/>
      <w:sz w:val="20"/>
      <w:szCs w:val="20"/>
    </w:rPr>
  </w:style>
  <w:style w:type="paragraph" w:styleId="PiedepginaUNIRc" w:customStyle="1">
    <w:name w:val="Pie de página_UNIR(c)"/>
    <w:basedOn w:val="PiedepginaAsignatura"/>
    <w:uiPriority w:val="20"/>
    <w:qFormat/>
    <w:rsid w:val="00620388"/>
    <w:pPr>
      <w:ind w:hanging="0"/>
    </w:pPr>
    <w:rPr>
      <w:rFonts w:ascii="Calibri Light" w:hAnsi="Calibri Light"/>
      <w:spacing w:val="-4"/>
      <w:sz w:val="18"/>
      <w:szCs w:val="18"/>
    </w:rPr>
  </w:style>
  <w:style w:type="paragraph" w:styleId="FootnoteText">
    <w:name w:val="footnote text"/>
    <w:basedOn w:val="Normal"/>
    <w:link w:val="TextonotapieCar"/>
    <w:uiPriority w:val="99"/>
    <w:rsid w:val="008b7ef4"/>
    <w:pPr>
      <w:spacing w:lineRule="auto" w:line="240"/>
    </w:pPr>
    <w:rPr>
      <w:sz w:val="20"/>
      <w:szCs w:val="20"/>
    </w:rPr>
  </w:style>
  <w:style w:type="paragraph" w:styleId="Piedefoto-tabla" w:customStyle="1">
    <w:name w:val="Pie de foto-tabla"/>
    <w:basedOn w:val="Normal"/>
    <w:next w:val="Normal"/>
    <w:uiPriority w:val="16"/>
    <w:qFormat/>
    <w:rsid w:val="003d5c2c"/>
    <w:pPr>
      <w:spacing w:lineRule="auto" w:line="276" w:before="120" w:after="0"/>
      <w:ind w:start="-113" w:end="-215"/>
      <w:jc w:val="center"/>
    </w:pPr>
    <w:rPr>
      <w:rFonts w:cs="UnitOT-Light"/>
      <w:iCs/>
      <w:color w:themeColor="text1" w:themeTint="a6" w:val="595959"/>
      <w:sz w:val="19"/>
      <w:szCs w:val="18"/>
    </w:rPr>
  </w:style>
  <w:style w:type="paragraph" w:styleId="Vietaprimernivel" w:customStyle="1">
    <w:name w:val="Viñeta primer nivel"/>
    <w:basedOn w:val="Normal"/>
    <w:qFormat/>
    <w:rsid w:val="00a232e5"/>
    <w:pPr>
      <w:numPr>
        <w:ilvl w:val="0"/>
        <w:numId w:val="2"/>
      </w:numPr>
      <w:ind w:hanging="284" w:start="284"/>
    </w:pPr>
    <w:rPr/>
  </w:style>
  <w:style w:type="paragraph" w:styleId="Citas" w:customStyle="1">
    <w:name w:val="Citas"/>
    <w:basedOn w:val="Normal"/>
    <w:next w:val="Normal"/>
    <w:uiPriority w:val="15"/>
    <w:qFormat/>
    <w:rsid w:val="00cf1cae"/>
    <w:pPr>
      <w:spacing w:lineRule="auto" w:line="240"/>
      <w:ind w:start="851"/>
    </w:pPr>
    <w:rPr>
      <w:rFonts w:cs="UnitOT-Light"/>
      <w:szCs w:val="22"/>
    </w:rPr>
  </w:style>
  <w:style w:type="paragraph" w:styleId="TituloApartado1" w:customStyle="1">
    <w:name w:val="Titulo Apartado 1"/>
    <w:basedOn w:val="Normal"/>
    <w:next w:val="Normal"/>
    <w:uiPriority w:val="6"/>
    <w:qFormat/>
    <w:rsid w:val="00804a12"/>
    <w:pPr>
      <w:jc w:val="start"/>
    </w:pPr>
    <w:rPr>
      <w:sz w:val="40"/>
      <w:szCs w:val="40"/>
    </w:rPr>
  </w:style>
  <w:style w:type="paragraph" w:styleId="Destacados" w:customStyle="1">
    <w:name w:val="Destacados"/>
    <w:basedOn w:val="TituloApartado1"/>
    <w:next w:val="Normal"/>
    <w:uiPriority w:val="12"/>
    <w:qFormat/>
    <w:rsid w:val="00302ff8"/>
    <w:pPr>
      <w:ind w:start="284" w:end="281"/>
      <w:jc w:val="center"/>
    </w:pPr>
    <w:rPr>
      <w:sz w:val="24"/>
      <w:szCs w:val="22"/>
    </w:rPr>
  </w:style>
  <w:style w:type="paragraph" w:styleId="TtuloApartado2" w:customStyle="1">
    <w:name w:val="Título Apartado 2"/>
    <w:basedOn w:val="Normal"/>
    <w:next w:val="Normal"/>
    <w:uiPriority w:val="8"/>
    <w:qFormat/>
    <w:rsid w:val="00571d5e"/>
    <w:pPr/>
    <w:rPr>
      <w:sz w:val="28"/>
      <w:szCs w:val="26"/>
    </w:rPr>
  </w:style>
  <w:style w:type="paragraph" w:styleId="TtuloAfondo" w:customStyle="1">
    <w:name w:val="Título A fondo"/>
    <w:basedOn w:val="Normal"/>
    <w:next w:val="Normal"/>
    <w:uiPriority w:val="9"/>
    <w:qFormat/>
    <w:rsid w:val="004e5487"/>
    <w:pPr/>
    <w:rPr>
      <w:rFonts w:cs="UnitOT-Medi"/>
      <w:b/>
    </w:rPr>
  </w:style>
  <w:style w:type="paragraph" w:styleId="CuadroCmoestudiaryReferencias" w:customStyle="1">
    <w:name w:val="Cuadro «Cómo estudiar» y Referencias"/>
    <w:basedOn w:val="Normal"/>
    <w:uiPriority w:val="10"/>
    <w:qFormat/>
    <w:rsid w:val="00c45dee"/>
    <w:pPr>
      <w:pBdr>
        <w:top w:val="single" w:sz="4" w:space="4" w:color="333333"/>
        <w:bottom w:val="single" w:sz="4" w:space="1" w:color="333333"/>
      </w:pBdr>
      <w:shd w:val="clear" w:color="auto" w:fill="F2F2F2" w:themeFill="background1" w:themeFillShade="f2"/>
      <w:tabs>
        <w:tab w:val="clear" w:pos="709"/>
        <w:tab w:val="left" w:pos="1134" w:leader="none"/>
      </w:tabs>
    </w:pPr>
    <w:rPr>
      <w:rFonts w:cs="UnitOT-Light"/>
      <w:spacing w:val="-4"/>
      <w:szCs w:val="22"/>
    </w:rPr>
  </w:style>
  <w:style w:type="paragraph" w:styleId="Cuadroenlace" w:customStyle="1">
    <w:name w:val="Cuadro enlace"/>
    <w:basedOn w:val="Normal"/>
    <w:uiPriority w:val="11"/>
    <w:qFormat/>
    <w:rsid w:val="00c45dee"/>
    <w:pPr>
      <w:pBdr>
        <w:top w:val="single" w:sz="4" w:space="4" w:color="333333"/>
        <w:bottom w:val="single" w:sz="4" w:space="0" w:color="333333"/>
      </w:pBdr>
      <w:jc w:val="center"/>
    </w:pPr>
    <w:rPr>
      <w:rFonts w:cs="UnitOT-Light"/>
      <w:szCs w:val="22"/>
    </w:rPr>
  </w:style>
  <w:style w:type="paragraph" w:styleId="Ejemplos" w:customStyle="1">
    <w:name w:val="Ejemplos"/>
    <w:basedOn w:val="Normal"/>
    <w:uiPriority w:val="22"/>
    <w:qFormat/>
    <w:rsid w:val="00a634a5"/>
    <w:pPr>
      <w:pBdr>
        <w:left w:val="single" w:sz="4" w:space="4" w:color="0098CD"/>
        <w:right w:val="single" w:sz="4" w:space="4" w:color="0098CD"/>
      </w:pBdr>
      <w:spacing w:lineRule="auto" w:line="276"/>
      <w:ind w:start="284" w:end="284"/>
    </w:pPr>
    <w:rPr>
      <w:rFonts w:cs="UnitOT-Light"/>
      <w:color w:themeColor="text1" w:themeTint="a6" w:val="595959"/>
      <w:szCs w:val="22"/>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Footer">
    <w:name w:val="footer"/>
    <w:basedOn w:val="Normal"/>
    <w:link w:val="PiedepginaCar"/>
    <w:uiPriority w:val="24"/>
    <w:qFormat/>
    <w:rsid w:val="00e7167d"/>
    <w:pPr>
      <w:tabs>
        <w:tab w:val="clear" w:pos="709"/>
        <w:tab w:val="center" w:pos="4252" w:leader="none"/>
        <w:tab w:val="right" w:pos="8504" w:leader="none"/>
      </w:tabs>
      <w:spacing w:lineRule="auto" w:line="240"/>
    </w:pPr>
    <w:rPr/>
  </w:style>
  <w:style w:type="paragraph" w:styleId="BalloonText">
    <w:name w:val="Balloon Text"/>
    <w:basedOn w:val="Normal"/>
    <w:link w:val="TextodegloboCar"/>
    <w:uiPriority w:val="99"/>
    <w:qFormat/>
    <w:rsid w:val="002e7b8c"/>
    <w:pPr>
      <w:spacing w:lineRule="auto" w:line="240"/>
    </w:pPr>
    <w:rPr>
      <w:rFonts w:ascii="Segoe UI" w:hAnsi="Segoe UI" w:cs="Segoe UI"/>
      <w:sz w:val="18"/>
      <w:szCs w:val="18"/>
    </w:rPr>
  </w:style>
  <w:style w:type="paragraph" w:styleId="Vietasegundonivel" w:customStyle="1">
    <w:name w:val="Viñeta segundo nivel"/>
    <w:basedOn w:val="Normal"/>
    <w:autoRedefine/>
    <w:qFormat/>
    <w:rsid w:val="00804a12"/>
    <w:pPr>
      <w:numPr>
        <w:ilvl w:val="1"/>
        <w:numId w:val="3"/>
      </w:numPr>
      <w:spacing w:before="0" w:after="0"/>
      <w:ind w:hanging="284" w:start="851"/>
      <w:contextualSpacing/>
    </w:pPr>
    <w:rPr/>
  </w:style>
  <w:style w:type="paragraph" w:styleId="ListanumeradaTEST" w:customStyle="1">
    <w:name w:val="Lista numerada (TEST)"/>
    <w:basedOn w:val="Normal"/>
    <w:qFormat/>
    <w:rsid w:val="00804a12"/>
    <w:pPr>
      <w:numPr>
        <w:ilvl w:val="0"/>
        <w:numId w:val="1"/>
      </w:numPr>
    </w:pPr>
    <w:rPr/>
  </w:style>
  <w:style w:type="paragraph" w:styleId="Cdigo" w:customStyle="1">
    <w:name w:val="Código"/>
    <w:basedOn w:val="Normal"/>
    <w:qFormat/>
    <w:rsid w:val="008340b7"/>
    <w:pPr/>
    <w:rPr>
      <w:rFonts w:ascii="Consolas" w:hAnsi="Consolas"/>
      <w:sz w:val="20"/>
      <w:szCs w:val="20"/>
      <w:lang w:val="en-IE"/>
    </w:rPr>
  </w:style>
  <w:style w:type="paragraph" w:styleId="Feedback" w:customStyle="1">
    <w:name w:val="Feedback"/>
    <w:basedOn w:val="Normal"/>
    <w:next w:val="Normal"/>
    <w:qFormat/>
    <w:rsid w:val="0046796b"/>
    <w:pPr/>
    <w:rPr/>
  </w:style>
  <w:style w:type="paragraph" w:styleId="TtuloApartado3" w:customStyle="1">
    <w:name w:val="Título Apartado 3"/>
    <w:basedOn w:val="Title"/>
    <w:next w:val="Normal"/>
    <w:uiPriority w:val="9"/>
    <w:qFormat/>
    <w:rsid w:val="00a232e5"/>
    <w:pPr/>
    <w:rPr/>
  </w:style>
  <w:style w:type="paragraph" w:styleId="Title">
    <w:name w:val="Title"/>
    <w:basedOn w:val="Normal"/>
    <w:next w:val="Normal"/>
    <w:link w:val="TtuloCar"/>
    <w:uiPriority w:val="1"/>
    <w:qFormat/>
    <w:rsid w:val="00571d5e"/>
    <w:pPr/>
    <w:rPr>
      <w:rFonts w:eastAsia="Calibri"/>
      <w:b/>
      <w:bCs/>
      <w:lang w:eastAsia="ja-JP"/>
    </w:rPr>
  </w:style>
  <w:style w:type="paragraph" w:styleId="ListParagraph">
    <w:name w:val="List Paragraph"/>
    <w:basedOn w:val="Normal"/>
    <w:uiPriority w:val="98"/>
    <w:qFormat/>
    <w:rsid w:val="005c4be9"/>
    <w:pPr>
      <w:spacing w:before="0" w:after="0"/>
      <w:ind w:start="720"/>
      <w:contextualSpacing/>
    </w:pPr>
    <w:rPr/>
  </w:style>
  <w:style w:type="paragraph" w:styleId="Header">
    <w:name w:val="header"/>
    <w:basedOn w:val="Normal"/>
    <w:link w:val="EncabezadoCar"/>
    <w:uiPriority w:val="99"/>
    <w:semiHidden/>
    <w:qFormat/>
    <w:rsid w:val="009b417c"/>
    <w:pPr>
      <w:tabs>
        <w:tab w:val="clear" w:pos="709"/>
        <w:tab w:val="center" w:pos="4252" w:leader="none"/>
        <w:tab w:val="right" w:pos="8504" w:leader="none"/>
      </w:tabs>
      <w:spacing w:lineRule="auto" w:line="240"/>
    </w:pPr>
    <w:rPr/>
  </w:style>
  <w:style w:type="paragraph" w:styleId="Contenidodelmarco">
    <w:name w:val="Contenido del marco"/>
    <w:basedOn w:val="Normal"/>
    <w:qFormat/>
    <w:pPr/>
    <w:rPr/>
  </w:style>
  <w:style w:type="paragraph" w:styleId="Contenidodelmarcouser">
    <w:name w:val="Contenido del marco (user)"/>
    <w:basedOn w:val="Normal"/>
    <w:qFormat/>
    <w:pPr/>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numbering" w:styleId="Ningunalista" w:default="1">
    <w:name w:val="Ninguna lista"/>
    <w:uiPriority w:val="99"/>
    <w:semiHidden/>
    <w:unhideWhenUsed/>
    <w:qFormat/>
  </w:style>
  <w:style w:type="numbering" w:styleId="VietasUNIR" w:customStyle="1">
    <w:name w:val="ViñetasUNIR"/>
    <w:uiPriority w:val="99"/>
    <w:qFormat/>
    <w:rsid w:val="00260b21"/>
  </w:style>
  <w:style w:type="numbering" w:styleId="NumeracinTest" w:customStyle="1">
    <w:name w:val="Numeración Test"/>
    <w:uiPriority w:val="99"/>
    <w:qFormat/>
    <w:rsid w:val="00845825"/>
  </w:style>
  <w:style w:type="numbering" w:styleId="VietasUNIRcombinada" w:customStyle="1">
    <w:name w:val="ViñetasUNIR_combinada"/>
    <w:uiPriority w:val="99"/>
    <w:qFormat/>
    <w:rsid w:val="00c37777"/>
  </w:style>
  <w:style w:type="numbering" w:styleId="NmeracinTest" w:customStyle="1">
    <w:name w:val="Númeración Test"/>
    <w:uiPriority w:val="99"/>
    <w:qFormat/>
    <w:rsid w:val="005c4be9"/>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7e4840"/>
    <w:pPr>
      <w:spacing w:after="0" w:line="240" w:lineRule="auto"/>
    </w:pPr>
    <w:rPr>
      <w:sz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UNIR1">
    <w:name w:val="TablaUNIR_1"/>
    <w:basedOn w:val="UNIR"/>
    <w:uiPriority w:val="99"/>
    <w:rsid w:val="005f240a"/>
    <w:tblPr>
      <w:tblStyleColBandSize w:val="1"/>
    </w:tblPr>
    <w:tblStylePr w:type="firstRow">
      <w:rPr>
        <w:color w:val="ffffff" w:themeColor="background1"/>
        <w:sz w:val="20"/>
      </w:rPr>
      <w:tblPr/>
      <w:tcPr>
        <w:shd w:val="clear" w:color="auto" w:fill="0098CD"/>
      </w:tcPr>
    </w:tblStylePr>
    <w:tblStylePr w:type="band1Vert">
      <w:pPr>
        <w:wordWrap/>
        <w:jc w:val="center"/>
      </w:pPr>
      <w:rPr>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sz w:val="20"/>
    </w:rPr>
    <w:tblPr>
      <w:tblBorders>
        <w:bottom w:val="single" w:color="0098CD" w:sz="4" w:space="0"/>
        <w:insideH w:val="single" w:color="0098CD" w:sz="4" w:space="0"/>
      </w:tblBorders>
    </w:tblPr>
    <w:tcPr>
      <w:tcMar>
        <w:top w:w="57" w:type="dxa"/>
      </w:tcMar>
      <w:shd w:val="clear" w:color="auto" w:fill="auto"/>
      <w:vAlign w:val="center"/>
    </w:tcPr>
    <w:tblStylePr w:type="firstRow">
      <w:pPr>
        <w:jc w:val="center"/>
      </w:pPr>
      <w:rPr>
        <w:sz w:val="20"/>
      </w:rPr>
      <w:tblPr/>
      <w:tcPr>
        <w:shd w:val="clear" w:color="auto" w:fill="0098CD"/>
      </w:tcPr>
    </w:tblStylePr>
    <w:tblStylePr w:type="firstCol">
      <w:rPr>
        <w:sz w:val="20"/>
      </w:rPr>
      <w:tblPr/>
      <w:tcPr>
        <w:tcBorders>
          <w:top w:val="single" w:color="0098CD" w:sz="4" w:space="0"/>
          <w:left w:val="nil"/>
          <w:bottom w:val="single" w:color="0098CD" w:sz="4" w:space="0"/>
          <w:right w:val="single" w:color="0098CD" w:sz="4" w:space="0"/>
          <w:insideH w:val="single" w:color="008FBE" w:sz="4" w:space="0"/>
          <w:insideV w:val="single" w:color="008FBE" w:sz="4" w:space="0"/>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sz w:val="20"/>
    </w:rPr>
    <w:tblPr>
      <w:tblBorders>
        <w:top w:val="single" w:color="0098CD" w:sz="4" w:space="0"/>
        <w:bottom w:val="single" w:color="0098CD" w:sz="4" w:space="0"/>
        <w:insideH w:val="single" w:color="0098CD" w:sz="4" w:space="0"/>
        <w:insideV w:val="single" w:color="0098CD" w:sz="4" w:space="0"/>
      </w:tblBorders>
    </w:tblPr>
    <w:tcPr>
      <w:tcMar>
        <w:top w:w="57" w:type="dxa"/>
      </w:tcMar>
      <w:vAlign w:val="center"/>
    </w:tcPr>
    <w:tblStylePr w:type="firstRow">
      <w:pPr>
        <w:jc w:val="center"/>
      </w:pPr>
      <w:rPr>
        <w:sz w:val="20"/>
      </w:rPr>
      <w:tblPr/>
      <w:tcPr>
        <w:tcBorders>
          <w:top w:val="single" w:color="008FBE" w:sz="4" w:space="0"/>
          <w:left w:val="nil"/>
          <w:bottom w:val="single" w:color="008FBE" w:sz="4" w:space="0"/>
          <w:right w:val="nil"/>
          <w:insideH w:val="single" w:color="008FBE" w:sz="4" w:space="0"/>
          <w:insideV w:val="single" w:color="008FBE" w:sz="4" w:space="0"/>
          <w:tl2br w:val="nil"/>
          <w:tr2bl w:val="nil"/>
        </w:tcBorders>
      </w:tcPr>
    </w:tblStylePr>
  </w:style>
  <w:style w:type="table" w:customStyle="1" w:styleId="TablaUNIR4">
    <w:name w:val="TablaUNIR_4"/>
    <w:basedOn w:val="Tablanormal"/>
    <w:uiPriority w:val="99"/>
    <w:rsid w:val="001e737a"/>
    <w:pPr>
      <w:spacing w:after="0" w:line="240" w:lineRule="auto"/>
      <w:jc w:val="center"/>
    </w:pPr>
    <w:rPr>
      <w:sz w:val="20"/>
    </w:rPr>
    <w:tblPr>
      <w:tblBorders>
        <w:insideH w:val="single" w:color="0098CD" w:sz="4" w:space="0"/>
        <w:insideV w:val="single" w:color="0098CD" w:sz="4" w:space="0"/>
      </w:tblBorders>
    </w:tblPr>
    <w:tcPr>
      <w:tcMar>
        <w:top w:w="57" w:type="dxa"/>
      </w:tcMar>
      <w:vAlign w:val="center"/>
    </w:tcPr>
    <w:tblStylePr w:type="firstRow">
      <w:rPr>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table" w:customStyle="1" w:styleId="TablaejemplosUNIR">
    <w:name w:val="Tabla ejemplos UNIR"/>
    <w:basedOn w:val="Tablanormal"/>
    <w:uiPriority w:val="99"/>
    <w:rsid w:val="001e737a"/>
    <w:pPr>
      <w:spacing w:after="0" w:line="240" w:lineRule="auto"/>
    </w:pPr>
    <w:rPr>
      <w:sz w:val="20"/>
    </w:rPr>
    <w:tblPr>
      <w:tblBorders>
        <w:left w:val="single" w:color="0098CD" w:sz="4" w:space="0"/>
        <w:right w:val="single" w:color="0098CD" w:sz="4" w:space="0"/>
      </w:tblBorders>
      <w:tblCellMar>
        <w:left w:w="284" w:type="dxa"/>
        <w:right w:w="284" w:type="dxa"/>
      </w:tblCellMar>
    </w:tblPr>
  </w:style>
  <w:style w:type="table" w:customStyle="1" w:styleId="UNIR">
    <w:name w:val="UNIR"/>
    <w:basedOn w:val="Tablanormal"/>
    <w:uiPriority w:val="99"/>
    <w:rsid w:val="007e4840"/>
    <w:pPr>
      <w:spacing w:after="0" w:line="240" w:lineRule="auto"/>
    </w:pPr>
    <w:rPr>
      <w:sz w:val="20"/>
    </w:rPr>
    <w:tblPr>
      <w:tblBorders>
        <w:top w:val="single" w:color="0098CD" w:sz="4" w:space="0"/>
        <w:left w:val="single" w:color="0098CD" w:sz="4" w:space="0"/>
        <w:bottom w:val="single" w:color="0098CD" w:sz="4" w:space="0"/>
        <w:right w:val="single" w:color="0098CD" w:sz="4" w:space="0"/>
        <w:insideH w:val="single" w:color="0098CD" w:sz="4" w:space="0"/>
        <w:insideV w:val="single" w:color="0098CD" w:sz="4" w:space="0"/>
      </w:tblBorders>
    </w:tblPr>
  </w:style>
  <w:style w:type="table" w:customStyle="1" w:styleId="Estilo1">
    <w:name w:val="Estilo1"/>
    <w:basedOn w:val="Tablanormal"/>
    <w:uiPriority w:val="99"/>
    <w:rsid w:val="003459cf"/>
    <w:pPr>
      <w:spacing w:after="0" w:line="240" w:lineRule="auto"/>
    </w:pPr>
    <w:tblPr>
      <w:tblBorders>
        <w:top w:val="single" w:color="0098CD" w:sz="4" w:space="0"/>
        <w:bottom w:val="single" w:color="0098CD" w:sz="4" w:space="0"/>
      </w:tblBorders>
    </w:tblPr>
    <w:tcPr>
      <w:vAlign w:val="center"/>
    </w:tcPr>
  </w:style>
  <w:style w:type="table" w:customStyle="1" w:styleId="MaterialAudiovisual">
    <w:name w:val="Material Audiovisual"/>
    <w:basedOn w:val="Tablanormal"/>
    <w:uiPriority w:val="99"/>
    <w:rsid w:val="003459cf"/>
    <w:pPr>
      <w:spacing w:after="0" w:line="240" w:lineRule="auto"/>
    </w:pPr>
    <w:rPr>
      <w:sz w:val="24"/>
    </w:rPr>
    <w:tblPr>
      <w:tblBorders>
        <w:top w:val="single" w:color="0098CD" w:sz="4" w:space="0"/>
        <w:bottom w:val="single" w:color="0098CD" w:sz="4" w:space="0"/>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sz w:val="24"/>
    </w:rPr>
    <w:tblPr>
      <w:tblBorders>
        <w:top w:val="single" w:color="0098CD" w:sz="4" w:space="0"/>
        <w:bottom w:val="single" w:color="0098CD" w:sz="4" w:space="0"/>
      </w:tblBorders>
      <w:tblCellMar>
        <w:top w:w="113" w:type="dxa"/>
      </w:tblCellMar>
    </w:tblPr>
    <w:tcPr>
      <w:vAlign w:val="center"/>
    </w:tcPr>
  </w:style>
  <w:style w:type="table" w:customStyle="1" w:styleId="TablaUNIR30">
    <w:name w:val="Tabla UNIR 3"/>
    <w:basedOn w:val="Tablanormal"/>
    <w:uiPriority w:val="99"/>
    <w:rsid w:val="005c4be9"/>
    <w:pPr>
      <w:spacing w:after="0" w:line="240" w:lineRule="auto"/>
    </w:pPr>
    <w:rPr>
      <w:sz w:val="20"/>
    </w:rPr>
    <w:tblPr>
      <w:tblBorders>
        <w:top w:val="single" w:color="0098CD" w:sz="4" w:space="0"/>
        <w:bottom w:val="single" w:color="0098CD" w:sz="4" w:space="0"/>
        <w:insideH w:val="single" w:color="0098CD" w:sz="4" w:space="0"/>
        <w:insideV w:val="single" w:color="0098CD" w:sz="4" w:space="0"/>
      </w:tblBorders>
      <w:tblCellMar>
        <w:top w:w="113" w:type="dxa"/>
      </w:tblCellMar>
    </w:tblPr>
    <w:tcPr>
      <w:shd w:val="clear" w:color="auto" w:fill="FFFFFF" w:themeFill="background1"/>
      <w:vAlign w:val="center"/>
    </w:tcPr>
    <w:tblStylePr w:type="firstRow">
      <w:pPr>
        <w:jc w:val="center"/>
      </w:pPr>
      <w:rPr>
        <w:b w:val="0"/>
        <w:sz w:val="20"/>
      </w:rPr>
      <w:tblPr/>
      <w:trPr>
        <w:tblHeader/>
      </w:trPr>
      <w:tcPr>
        <w:shd w:val="clear" w:color="auto" w:fill="E6F4F9"/>
        <w:vAlign w:val="center"/>
      </w:tcPr>
    </w:tblStyle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adecuadrcula4">
    <w:name w:val="Grid Table 4"/>
    <w:basedOn w:val="Tablanormal"/>
    <w:uiPriority w:val="49"/>
    <w:rsid w:val="003979fb"/>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yperlink" Target="https://www.ensembl.org/Tools/VEP" TargetMode="External"/><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yperlink" Target="https://www.ebi.ac.uk/Tools/msa/clustalo/" TargetMode="External"/><Relationship Id="rId20" Type="http://schemas.openxmlformats.org/officeDocument/2006/relationships/hyperlink" Target="https://www.uniprot.org/" TargetMode="External"/><Relationship Id="rId21" Type="http://schemas.openxmlformats.org/officeDocument/2006/relationships/hyperlink" Target="https://biomodel.uah.es/lab/cibertorio/analysis/trans.htm" TargetMode="External"/><Relationship Id="rId22" Type="http://schemas.openxmlformats.org/officeDocument/2006/relationships/hyperlink" Target="https://www.uniprot.org/" TargetMode="External"/><Relationship Id="rId23" Type="http://schemas.openxmlformats.org/officeDocument/2006/relationships/image" Target="media/image5.png"/><Relationship Id="rId24" Type="http://schemas.openxmlformats.org/officeDocument/2006/relationships/hyperlink" Target="https://fruitfly.org/seq_tools/splice.html" TargetMode="External"/><Relationship Id="rId25" Type="http://schemas.openxmlformats.org/officeDocument/2006/relationships/hyperlink" Target="https://esefinder.ahc.umn.edu/cgi-bin/tools/ESE3/esefinder.cgi" TargetMode="External"/><Relationship Id="rId26" Type="http://schemas.openxmlformats.org/officeDocument/2006/relationships/hyperlink" Target="https://www.uniprot.org/" TargetMode="External"/><Relationship Id="rId27" Type="http://schemas.openxmlformats.org/officeDocument/2006/relationships/hyperlink" Target="https://www.omim.org/" TargetMode="External"/><Relationship Id="rId28" Type="http://schemas.openxmlformats.org/officeDocument/2006/relationships/header" Target="header7.xml"/><Relationship Id="rId29" Type="http://schemas.openxmlformats.org/officeDocument/2006/relationships/header" Target="header8.xml"/><Relationship Id="rId30" Type="http://schemas.openxmlformats.org/officeDocument/2006/relationships/header" Target="header9.xml"/><Relationship Id="rId31" Type="http://schemas.openxmlformats.org/officeDocument/2006/relationships/footer" Target="footer7.xml"/><Relationship Id="rId32" Type="http://schemas.openxmlformats.org/officeDocument/2006/relationships/footer" Target="footer8.xml"/><Relationship Id="rId33" Type="http://schemas.openxmlformats.org/officeDocument/2006/relationships/footer" Target="footer9.xml"/><Relationship Id="rId34" Type="http://schemas.openxmlformats.org/officeDocument/2006/relationships/header" Target="header10.xml"/><Relationship Id="rId35" Type="http://schemas.openxmlformats.org/officeDocument/2006/relationships/header" Target="header11.xml"/><Relationship Id="rId36" Type="http://schemas.openxmlformats.org/officeDocument/2006/relationships/header" Target="header12.xml"/><Relationship Id="rId37" Type="http://schemas.openxmlformats.org/officeDocument/2006/relationships/footer" Target="footer10.xml"/><Relationship Id="rId38" Type="http://schemas.openxmlformats.org/officeDocument/2006/relationships/footer" Target="footer11.xml"/><Relationship Id="rId39" Type="http://schemas.openxmlformats.org/officeDocument/2006/relationships/footer" Target="footer12.xml"/><Relationship Id="rId40" Type="http://schemas.openxmlformats.org/officeDocument/2006/relationships/hyperlink" Target="https://www.genome.jp/kegg/pathway.html" TargetMode="External"/><Relationship Id="rId41" Type="http://schemas.openxmlformats.org/officeDocument/2006/relationships/hyperlink" Target="https://reactome.org/" TargetMode="External"/><Relationship Id="rId42" Type="http://schemas.openxmlformats.org/officeDocument/2006/relationships/hyperlink" Target="https://genome.ucsc.edu/cgi-bin/hgGateway" TargetMode="External"/><Relationship Id="rId43" Type="http://schemas.openxmlformats.org/officeDocument/2006/relationships/hyperlink" Target="https://www.ncbi.nlm.nih.gov/clinvar/" TargetMode="External"/><Relationship Id="rId44" Type="http://schemas.openxmlformats.org/officeDocument/2006/relationships/hyperlink" Target="https://www.ncbi.nlm.nih.gov/snp/" TargetMode="External"/><Relationship Id="rId45" Type="http://schemas.openxmlformats.org/officeDocument/2006/relationships/hyperlink" Target="https://www.omim.org/" TargetMode="External"/><Relationship Id="rId46" Type="http://schemas.openxmlformats.org/officeDocument/2006/relationships/hyperlink" Target="https://www.ncbi.nlm.nih.gov/gene/" TargetMode="External"/><Relationship Id="rId47" Type="http://schemas.openxmlformats.org/officeDocument/2006/relationships/image" Target="media/image6.jpeg"/><Relationship Id="rId48" Type="http://schemas.openxmlformats.org/officeDocument/2006/relationships/header" Target="header13.xml"/><Relationship Id="rId49" Type="http://schemas.openxmlformats.org/officeDocument/2006/relationships/header" Target="header14.xml"/><Relationship Id="rId50" Type="http://schemas.openxmlformats.org/officeDocument/2006/relationships/header" Target="header15.xml"/><Relationship Id="rId51" Type="http://schemas.openxmlformats.org/officeDocument/2006/relationships/footer" Target="footer13.xml"/><Relationship Id="rId52" Type="http://schemas.openxmlformats.org/officeDocument/2006/relationships/footer" Target="footer14.xml"/><Relationship Id="rId53" Type="http://schemas.openxmlformats.org/officeDocument/2006/relationships/footer" Target="footer15.xml"/><Relationship Id="rId54" Type="http://schemas.openxmlformats.org/officeDocument/2006/relationships/numbering" Target="numbering.xml"/><Relationship Id="rId55" Type="http://schemas.openxmlformats.org/officeDocument/2006/relationships/fontTable" Target="fontTable.xml"/><Relationship Id="rId56" Type="http://schemas.openxmlformats.org/officeDocument/2006/relationships/settings" Target="settings.xml"/><Relationship Id="rId57" Type="http://schemas.openxmlformats.org/officeDocument/2006/relationships/theme" Target="theme/theme1.xml"/><Relationship Id="rId58" Type="http://schemas.openxmlformats.org/officeDocument/2006/relationships/customXml" Target="../customXml/item1.xml"/><Relationship Id="rId59" Type="http://schemas.openxmlformats.org/officeDocument/2006/relationships/customXml" Target="../customXml/item2.xml"/><Relationship Id="rId60" Type="http://schemas.openxmlformats.org/officeDocument/2006/relationships/customXml" Target="../customXml/item3.xml"/><Relationship Id="rId61"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Tema de Office">
  <a:themeElements>
    <a:clrScheme name="Personalizado 30">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20" ma:contentTypeDescription="Crear nuevo documento." ma:contentTypeScope="" ma:versionID="98b23ce13f8ef13134c980882a27b8cc">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83d50475b18a8f95f7f8edf1c6caa3f2"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SharedWithUsers xmlns="0a70e875-3d35-4be2-921f-7117c31bab9b">
      <UserInfo>
        <DisplayName/>
        <AccountId xsi:nil="true"/>
        <AccountType/>
      </UserInfo>
    </SharedWithUsers>
    <lcf76f155ced4ddcb4097134ff3c332f xmlns="27c1adeb-3674-457c-b08c-8a73f31b6e23">
      <Terms xmlns="http://schemas.microsoft.com/office/infopath/2007/PartnerControls"/>
    </lcf76f155ced4ddcb4097134ff3c332f>
    <MediaLengthInSeconds xmlns="27c1adeb-3674-457c-b08c-8a73f31b6e23" xsi:nil="true"/>
    <_Flow_SignoffStatus xmlns="27c1adeb-3674-457c-b08c-8a73f31b6e2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2.xml><?xml version="1.0" encoding="utf-8"?>
<ds:datastoreItem xmlns:ds="http://schemas.openxmlformats.org/officeDocument/2006/customXml" ds:itemID="{CB60F5D7-2AF4-4435-B21C-2D16F109AE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0a70e875-3d35-4be2-921f-7117c31bab9b"/>
    <ds:schemaRef ds:uri="27c1adeb-3674-457c-b08c-8a73f31b6e23"/>
  </ds:schemaRefs>
</ds:datastoreItem>
</file>

<file path=customXml/itemProps4.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631</TotalTime>
  <Application>LibreOffice/26.2.3.2$Windows_X86_64 LibreOffice_project/70e089b17412e4cb7773e41413306b17a2328c34</Application>
  <AppVersion>15.0000</AppVersion>
  <Pages>15</Pages>
  <Words>2586</Words>
  <Characters>14490</Characters>
  <CharactersWithSpaces>16927</CharactersWithSpaces>
  <Paragraphs>189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2021-10-15T05:29:00Z</dcterms:created>
  <dc:creator>Natalia Asturillo</dc:creator>
  <dc:description/>
  <dc:language>es-ES</dc:language>
  <cp:lastModifiedBy/>
  <cp:lastPrinted>2017-11-10T07:47:00Z</cp:lastPrinted>
  <dcterms:modified xsi:type="dcterms:W3CDTF">2026-06-14T12:33:38Z</dcterms:modified>
  <cp:revision>86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Target">
    <vt:i4>-1</vt:i4>
  </property>
  <property fmtid="{D5CDD505-2E9C-101B-9397-08002B2CF9AE}" pid="3" name="ComplianceAssetId">
    <vt:lpwstr/>
  </property>
  <property fmtid="{D5CDD505-2E9C-101B-9397-08002B2CF9AE}" pid="4" name="ContentTypeId">
    <vt:lpwstr>0x010100DF3D7C797EA12745A270EF30E38719B9</vt:lpwstr>
  </property>
  <property fmtid="{D5CDD505-2E9C-101B-9397-08002B2CF9AE}" pid="5" name="GrammarlyDocumentId">
    <vt:lpwstr>0e8d4727-29c8-4259-bc20-4b3456be4e08</vt:lpwstr>
  </property>
  <property fmtid="{D5CDD505-2E9C-101B-9397-08002B2CF9AE}" pid="6" name="MediaServiceImageTags">
    <vt:lpwstr/>
  </property>
  <property fmtid="{D5CDD505-2E9C-101B-9397-08002B2CF9AE}" pid="7" name="Order">
    <vt:r8>276600</vt:r8>
  </property>
  <property fmtid="{D5CDD505-2E9C-101B-9397-08002B2CF9AE}" pid="8" name="TemplateUrl">
    <vt:lpwstr/>
  </property>
  <property fmtid="{D5CDD505-2E9C-101B-9397-08002B2CF9AE}" pid="9" name="TriggerFlowInfo">
    <vt:lpwstr/>
  </property>
  <property fmtid="{D5CDD505-2E9C-101B-9397-08002B2CF9AE}" pid="10" name="_ExtendedDescription">
    <vt:lpwstr/>
  </property>
  <property fmtid="{D5CDD505-2E9C-101B-9397-08002B2CF9AE}" pid="11" name="xd_ProgID">
    <vt:lpwstr/>
  </property>
  <property fmtid="{D5CDD505-2E9C-101B-9397-08002B2CF9AE}" pid="12" name="xd_Signature">
    <vt:bool>0</vt:bool>
  </property>
</Properties>
</file>