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Flujo de Trabajo — Sistema de Gestión MP 2026</w:t>
      </w:r>
    </w:p>
    <w:p>
      <w:pPr>
        <w:pBdr>
          <w:bottom w:val="single" w:color="2E75B6" w:sz="6" w:space="4"/>
        </w:pBdr>
        <w:spacing w:after="240"/>
      </w:pPr>
      <w:r>
        <w:rPr>
          <w:i/>
          <w:iCs/>
        </w:rPr>
        <w:t xml:space="preserve">Especificación consolidada · Programa de Mantenciones Preventivas de Equipos</w:t>
      </w:r>
    </w:p>
    <w:p>
      <w:pPr>
        <w:pStyle w:val="Heading2"/>
      </w:pPr>
      <w:r>
        <w:t xml:space="preserve">Paso 1. Cargar la base de datos de equipos</w:t>
      </w:r>
    </w:p>
    <w:p>
      <w:pPr>
        <w:pStyle w:val="ListParagraph"/>
        <w:numPr>
          <w:ilvl w:val="0"/>
          <w:numId w:val="2"/>
        </w:numPr>
        <w:spacing w:after="60"/>
      </w:pPr>
      <w:r>
        <w:t xml:space="preserve">Fuente: archivo </w:t>
      </w:r>
      <w:r>
        <w:rPr>
          <w:b/>
          <w:bCs/>
        </w:rPr>
        <w:t xml:space="preserve">ProgramaciónMP2026</w:t>
      </w:r>
      <w:r>
        <w:t xml:space="preserve">, hoja </w:t>
      </w:r>
      <w:r>
        <w:rPr>
          <w:b/>
          <w:bCs/>
        </w:rPr>
        <w:t xml:space="preserve">PMP_2026</w:t>
      </w:r>
      <w:r>
        <w:t xml:space="preserve">. Encabezados en la fila 7; datos desde la fila 8.</w:t>
      </w:r>
    </w:p>
    <w:p>
      <w:pPr>
        <w:pStyle w:val="ListParagraph"/>
        <w:numPr>
          <w:ilvl w:val="0"/>
          <w:numId w:val="2"/>
        </w:numPr>
        <w:spacing w:after="60"/>
      </w:pPr>
      <w:r>
        <w:t xml:space="preserve">Campos (columnas B–P): ID, N° Carpeta, N° Inventario, Equipo, Servicio, Unidad, Ubicación, Procedencia, Marca, Modelo, Serie, Año Instalación, Vida Útil Residual, Clasificación y ENU / Baja.</w:t>
      </w:r>
    </w:p>
    <w:p>
      <w:pPr>
        <w:pStyle w:val="ListParagraph"/>
        <w:numPr>
          <w:ilvl w:val="0"/>
          <w:numId w:val="2"/>
        </w:numPr>
        <w:spacing w:after="60"/>
      </w:pPr>
      <w:r>
        <w:t xml:space="preserve">Se excluyen las columnas Q (Observación), R (Frecuencia MP) y S (Responsable MP).</w:t>
      </w:r>
    </w:p>
    <w:p>
      <w:pPr>
        <w:pStyle w:val="ListParagraph"/>
        <w:numPr>
          <w:ilvl w:val="0"/>
          <w:numId w:val="2"/>
        </w:numPr>
        <w:spacing w:after="60"/>
      </w:pPr>
      <w:r>
        <w:t xml:space="preserve">Incluir </w:t>
      </w:r>
      <w:r>
        <w:rPr>
          <w:b/>
          <w:bCs/>
        </w:rPr>
        <w:t xml:space="preserve">todos los registros sin excepción</w:t>
      </w:r>
      <w:r>
        <w:t xml:space="preserve">, incluso aquellos con valor 0 en sus campos; ninguna fila se descarta ni se filtra.</w:t>
      </w:r>
    </w:p>
    <w:p>
      <w:pPr>
        <w:pStyle w:val="ListParagraph"/>
        <w:numPr>
          <w:ilvl w:val="0"/>
          <w:numId w:val="2"/>
        </w:numPr>
        <w:spacing w:after="60"/>
      </w:pPr>
      <w:r>
        <w:rPr>
          <w:b/>
          <w:bCs/>
        </w:rPr>
        <w:t xml:space="preserve">Serie y N° Inventario se leen como texto</w:t>
      </w:r>
      <w:r>
        <w:t xml:space="preserve">, conservando los ceros a la izquierda (“00039” no se convierte en “39”). Aplica en la carga, en la vista de equipos y en cualquier exportación.</w:t>
      </w:r>
    </w:p>
    <w:p>
      <w:pPr>
        <w:pStyle w:val="ListParagraph"/>
        <w:numPr>
          <w:ilvl w:val="0"/>
          <w:numId w:val="2"/>
        </w:numPr>
        <w:spacing w:after="60"/>
      </w:pPr>
      <w:r>
        <w:t xml:space="preserve">El ID es solo el orden de fila; el identificador único de cada equipo es la Serie o el N° Inventario.</w:t>
      </w:r>
    </w:p>
    <w:p>
      <w:pPr>
        <w:pStyle w:val="Heading2"/>
      </w:pPr>
      <w:r>
        <w:t xml:space="preserve">Paso 2. Vista de equipos</w:t>
      </w:r>
    </w:p>
    <w:p>
      <w:pPr>
        <w:pStyle w:val="ListParagraph"/>
        <w:numPr>
          <w:ilvl w:val="0"/>
          <w:numId w:val="2"/>
        </w:numPr>
        <w:spacing w:after="60"/>
      </w:pPr>
      <w:r>
        <w:t xml:space="preserve">Al completar la carga, generar una vista tipo tabla con las mismas columnas del Paso 1, más cinco columnas calculadas derivadas del motor de estado integral (Paso 12): Estado del equipo (Operativo / No Operativo / Servicio Técnico, con color, según el último evento registrado), Días en estado, Siguiente acción (la tarea recomendada para asegurar la operatividad del equipo), Última actualización y Pendientes (si el equipo tiene pendientes abiertos y cuántos). Todas las columnas cuentan con filtros tipo Excel; un selector permite elegir cuáles mostrar, con un conjunto compacto por defecto que evita el desplazamiento horizontal.</w:t>
      </w:r>
    </w:p>
    <w:p>
      <w:pPr>
        <w:pStyle w:val="ListParagraph"/>
        <w:numPr>
          <w:ilvl w:val="0"/>
          <w:numId w:val="2"/>
        </w:numPr>
        <w:spacing w:after="60"/>
      </w:pPr>
      <w:r>
        <w:t xml:space="preserve">Cada columna debe contar con filtros tipo Excel: selección múltiple, búsqueda y orden por columna.</w:t>
      </w:r>
    </w:p>
    <w:p>
      <w:pPr>
        <w:pStyle w:val="ListParagraph"/>
        <w:numPr>
          <w:ilvl w:val="0"/>
          <w:numId w:val="2"/>
        </w:numPr>
        <w:spacing w:after="60"/>
      </w:pPr>
      <w:r>
        <w:t xml:space="preserve">Cada fila es presionable y abre la vista de detalle del equipo (Paso 7).</w:t>
      </w:r>
    </w:p>
    <w:p>
      <w:pPr>
        <w:pStyle w:val="Heading2"/>
      </w:pPr>
      <w:r>
        <w:t xml:space="preserve">Paso 3. Leer la programación (hoja PMP_2026)</w:t>
      </w:r>
    </w:p>
    <w:p>
      <w:pPr>
        <w:pStyle w:val="ListParagraph"/>
        <w:numPr>
          <w:ilvl w:val="0"/>
          <w:numId w:val="2"/>
        </w:numPr>
        <w:spacing w:after="60"/>
      </w:pPr>
      <w:r>
        <w:t xml:space="preserve">Datos desde la fila 8; meses en columnas </w:t>
      </w:r>
      <w:r>
        <w:rPr>
          <w:b/>
          <w:bCs/>
        </w:rPr>
        <w:t xml:space="preserve">T–AE</w:t>
      </w:r>
      <w:r>
        <w:t xml:space="preserve"> (Ene–Dic), un valor de programación por mes.</w:t>
      </w:r>
    </w:p>
    <w:p>
      <w:pPr>
        <w:pStyle w:val="ListParagraph"/>
        <w:numPr>
          <w:ilvl w:val="0"/>
          <w:numId w:val="2"/>
        </w:numPr>
        <w:spacing w:after="60"/>
      </w:pPr>
      <w:r>
        <w:t xml:space="preserve">Vincular cada fila con su equipo mediante la Serie o el N°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CE9F5" w:val="clear"/>
            <w:tcMar>
              <w:top w:type="dxa" w:w="80"/>
              <w:left w:type="dxa" w:w="120"/>
              <w:bottom w:type="dxa" w:w="80"/>
              <w:right w:type="dxa" w:w="120"/>
            </w:tcMar>
          </w:tcPr>
          <w:p>
            <w:r>
              <w:rPr>
                <w:b/>
                <w:bCs/>
              </w:rPr>
              <w:t xml:space="preserve">Código</w:t>
            </w:r>
          </w:p>
        </w:tc>
        <w:tc>
          <w:tcPr>
            <w:tcW w:type="dxa" w:w="7560"/>
            <w:tcBorders>
              <w:top w:val="single" w:color="BFBFBF" w:sz="1"/>
              <w:left w:val="single" w:color="BFBFBF" w:sz="1"/>
              <w:bottom w:val="single" w:color="BFBFBF" w:sz="1"/>
              <w:right w:val="single" w:color="BFBFBF" w:sz="1"/>
            </w:tcBorders>
            <w:shd w:fill="DCE9F5" w:val="clear"/>
            <w:tcMar>
              <w:top w:type="dxa" w:w="80"/>
              <w:left w:type="dxa" w:w="120"/>
              <w:bottom w:type="dxa" w:w="80"/>
              <w:right w:type="dxa" w:w="120"/>
            </w:tcMar>
          </w:tcPr>
          <w:p>
            <w:r>
              <w:rPr>
                <w:b/>
                <w:bCs/>
              </w:rPr>
              <w:t xml:space="preserve">Significado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X</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Mantención Preventiva Programada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Mantención Preventiva Reprogramada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RA</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Mantención Preventiva Reprogramada de Año Anterior</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PM</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Puesta en Marcha</w:t>
            </w:r>
          </w:p>
        </w:tc>
      </w:tr>
    </w:tbl>
    <w:p>
      <w:pPr>
        <w:spacing w:after="120"/>
      </w:pPr>
      <w:r>
        <w:t xml:space="preserve"/>
      </w:r>
    </w:p>
    <w:p>
      <w:pPr>
        <w:pStyle w:val="Heading2"/>
      </w:pPr>
      <w:r>
        <w:t xml:space="preserve">Paso 4. Leer el registro (hoja Registro_MP-2026)</w:t>
      </w:r>
    </w:p>
    <w:p>
      <w:pPr>
        <w:pStyle w:val="ListParagraph"/>
        <w:numPr>
          <w:ilvl w:val="0"/>
          <w:numId w:val="2"/>
        </w:numPr>
        <w:spacing w:after="60"/>
      </w:pPr>
      <w:r>
        <w:t xml:space="preserve">Encabezados en las filas 6–7; datos desde la fila 8.</w:t>
      </w:r>
    </w:p>
    <w:p>
      <w:pPr>
        <w:pStyle w:val="ListParagraph"/>
        <w:numPr>
          <w:ilvl w:val="0"/>
          <w:numId w:val="2"/>
        </w:numPr>
        <w:spacing w:after="60"/>
      </w:pPr>
      <w:r>
        <w:t xml:space="preserve">Cada mes ocupa dos columnas: </w:t>
      </w:r>
      <w:r>
        <w:rPr>
          <w:b/>
          <w:bCs/>
        </w:rPr>
        <w:t xml:space="preserve">P (Programa)</w:t>
      </w:r>
      <w:r>
        <w:t xml:space="preserve"> con los valores X / R / RA / PM, y </w:t>
      </w:r>
      <w:r>
        <w:rPr>
          <w:b/>
          <w:bCs/>
        </w:rPr>
        <w:t xml:space="preserve">R (Resultado)</w:t>
      </w:r>
      <w:r>
        <w:t xml:space="preserve"> con los valores Si, C1–C8, Si-RA, FS, No, NU o Baja.</w:t>
      </w:r>
    </w:p>
    <w:p>
      <w:pPr>
        <w:pStyle w:val="ListParagraph"/>
        <w:numPr>
          <w:ilvl w:val="0"/>
          <w:numId w:val="2"/>
        </w:numPr>
        <w:spacing w:after="60"/>
      </w:pPr>
      <w:r>
        <w:t xml:space="preserve">La columna </w:t>
      </w:r>
      <w:r>
        <w:rPr>
          <w:b/>
          <w:bCs/>
        </w:rPr>
        <w:t xml:space="preserve">AR</w:t>
      </w:r>
      <w:r>
        <w:t xml:space="preserve"> corresponde a Observación.</w:t>
      </w:r>
    </w:p>
    <w:p>
      <w:pPr>
        <w:pStyle w:val="ListParagraph"/>
        <w:numPr>
          <w:ilvl w:val="0"/>
          <w:numId w:val="2"/>
        </w:numPr>
        <w:spacing w:after="60"/>
      </w:pPr>
      <w:r>
        <w:t xml:space="preserve">Ignorar los valores no válidos en P y R (ceros de relleno y números sueltos como “22” o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CE9F5" w:val="clear"/>
            <w:tcMar>
              <w:top w:type="dxa" w:w="80"/>
              <w:left w:type="dxa" w:w="120"/>
              <w:bottom w:type="dxa" w:w="80"/>
              <w:right w:type="dxa" w:w="120"/>
            </w:tcMar>
          </w:tcPr>
          <w:p>
            <w:r>
              <w:rPr>
                <w:b/>
                <w:bCs/>
              </w:rPr>
              <w:t xml:space="preserve">Mes</w:t>
            </w:r>
          </w:p>
        </w:tc>
        <w:tc>
          <w:tcPr>
            <w:tcW w:type="dxa" w:w="3120"/>
            <w:tcBorders>
              <w:top w:val="single" w:color="BFBFBF" w:sz="1"/>
              <w:left w:val="single" w:color="BFBFBF" w:sz="1"/>
              <w:bottom w:val="single" w:color="BFBFBF" w:sz="1"/>
              <w:right w:val="single" w:color="BFBFBF" w:sz="1"/>
            </w:tcBorders>
            <w:shd w:fill="DCE9F5" w:val="clear"/>
            <w:tcMar>
              <w:top w:type="dxa" w:w="80"/>
              <w:left w:type="dxa" w:w="120"/>
              <w:bottom w:type="dxa" w:w="80"/>
              <w:right w:type="dxa" w:w="120"/>
            </w:tcMar>
          </w:tcPr>
          <w:p>
            <w:r>
              <w:rPr>
                <w:b/>
                <w:bCs/>
              </w:rPr>
              <w:t xml:space="preserve">Columna P (Programa)</w:t>
            </w:r>
          </w:p>
        </w:tc>
        <w:tc>
          <w:tcPr>
            <w:tcW w:type="dxa" w:w="3120"/>
            <w:tcBorders>
              <w:top w:val="single" w:color="BFBFBF" w:sz="1"/>
              <w:left w:val="single" w:color="BFBFBF" w:sz="1"/>
              <w:bottom w:val="single" w:color="BFBFBF" w:sz="1"/>
              <w:right w:val="single" w:color="BFBFBF" w:sz="1"/>
            </w:tcBorders>
            <w:shd w:fill="DCE9F5" w:val="clear"/>
            <w:tcMar>
              <w:top w:type="dxa" w:w="80"/>
              <w:left w:type="dxa" w:w="120"/>
              <w:bottom w:type="dxa" w:w="80"/>
              <w:right w:type="dxa" w:w="120"/>
            </w:tcMar>
          </w:tcPr>
          <w:p>
            <w:r>
              <w:rPr>
                <w:b/>
                <w:bCs/>
              </w:rPr>
              <w:t xml:space="preserve">Columna R (Resultado)</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Enero</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Febrero</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V</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Marzo</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X</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Y</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Abril</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Z</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AA</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Mayo</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AB</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AC</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Junio</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AD</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Julio</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AF</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AG</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Agosto</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AH</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AI</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Septiembre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AJ</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AK</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Octubre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AL</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AM</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Noviembre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AO</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Diciembre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AQ</w:t>
            </w:r>
          </w:p>
        </w:tc>
      </w:tr>
    </w:tbl>
    <w:p>
      <w:pPr>
        <w:spacing w:after="120"/>
      </w:pPr>
      <w:r>
        <w:t xml:space="preserve"/>
      </w:r>
    </w:p>
    <w:p>
      <w:pPr>
        <w:pStyle w:val="Heading2"/>
      </w:pPr>
      <w:r>
        <w:t xml:space="preserve">Regla de carga — Oficial / Borrador</w:t>
      </w:r>
    </w:p>
    <w:p>
      <w:pPr>
        <w:pStyle w:val="ListParagraph"/>
        <w:numPr>
          <w:ilvl w:val="0"/>
          <w:numId w:val="2"/>
        </w:numPr>
        <w:spacing w:after="60"/>
      </w:pPr>
      <w:r>
        <w:t xml:space="preserve">Todo registro de mantención leído desde la planilla se marca automáticamente como </w:t>
      </w:r>
      <w:r>
        <w:rPr>
          <w:b/>
          <w:bCs/>
        </w:rPr>
        <w:t xml:space="preserve">Oficial</w:t>
      </w:r>
      <w:r>
        <w:t xml:space="preserve">.</w:t>
      </w:r>
    </w:p>
    <w:p>
      <w:pPr>
        <w:pStyle w:val="ListParagraph"/>
        <w:numPr>
          <w:ilvl w:val="0"/>
          <w:numId w:val="2"/>
        </w:numPr>
        <w:spacing w:after="60"/>
      </w:pPr>
      <w:r>
        <w:t xml:space="preserve">Si en la aplicación existe un registro guardado como </w:t>
      </w:r>
      <w:r>
        <w:rPr>
          <w:b/>
          <w:bCs/>
        </w:rPr>
        <w:t xml:space="preserve">Borrador</w:t>
      </w:r>
      <w:r>
        <w:t xml:space="preserve"> y, al volver a cargar la planilla, esa mantención aparece en ella, el registro se actualiza a </w:t>
      </w:r>
      <w:r>
        <w:rPr>
          <w:b/>
          <w:bCs/>
        </w:rPr>
        <w:t xml:space="preserve">Oficial</w:t>
      </w:r>
      <w:r>
        <w:t xml:space="preserve">.</w:t>
      </w:r>
    </w:p>
    <w:p>
      <w:pPr>
        <w:pStyle w:val="ListParagraph"/>
        <w:numPr>
          <w:ilvl w:val="0"/>
          <w:numId w:val="2"/>
        </w:numPr>
        <w:spacing w:after="60"/>
      </w:pPr>
      <w:r>
        <w:t xml:space="preserve">Si no aparece en la planilla recargada, conserva su estado de Borrador.</w:t>
      </w:r>
    </w:p>
    <w:p>
      <w:pPr>
        <w:pStyle w:val="ListParagraph"/>
        <w:numPr>
          <w:ilvl w:val="0"/>
          <w:numId w:val="2"/>
        </w:numPr>
        <w:spacing w:after="60"/>
      </w:pPr>
      <w:r>
        <w:t xml:space="preserve">Las mantenciones registradas en la aplicación se contabilizan en el mes de su fecha, junto a los resultados de la planilla; si la planilla trae resultado para el mismo equipo y mes, prevalece la planilla y no se duplica el conteo.</w:t>
      </w:r>
    </w:p>
    <w:p>
      <w:pPr>
        <w:pStyle w:val="ListParagraph"/>
        <w:numPr>
          <w:ilvl w:val="0"/>
          <w:numId w:val="2"/>
        </w:numPr>
        <w:spacing w:after="60"/>
      </w:pPr>
      <w:r>
        <w:t xml:space="preserve">Al ingresar la fecha de una mantención preventiva, el formulario indica qué corresponde a ese mes según la planilla (X, R, RA, PM o sin programación, listando los meses programados del equipo) y sugiere automáticamente el código en el campo Programación; la elección manual del usuario prevalece.</w:t>
      </w:r>
    </w:p>
    <w:p>
      <w:pPr>
        <w:pStyle w:val="Heading2"/>
      </w:pPr>
      <w:r>
        <w:t xml:space="preserve">Paso 5. Interpretar el resultado de cada mantención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CE9F5" w:val="clear"/>
            <w:tcMar>
              <w:top w:type="dxa" w:w="80"/>
              <w:left w:type="dxa" w:w="120"/>
              <w:bottom w:type="dxa" w:w="80"/>
              <w:right w:type="dxa" w:w="120"/>
            </w:tcMar>
          </w:tcPr>
          <w:p>
            <w:r>
              <w:rPr>
                <w:b/>
                <w:bCs/>
              </w:rPr>
              <w:t xml:space="preserve">Código</w:t>
            </w:r>
          </w:p>
        </w:tc>
        <w:tc>
          <w:tcPr>
            <w:tcW w:type="dxa" w:w="7560"/>
            <w:tcBorders>
              <w:top w:val="single" w:color="BFBFBF" w:sz="1"/>
              <w:left w:val="single" w:color="BFBFBF" w:sz="1"/>
              <w:bottom w:val="single" w:color="BFBFBF" w:sz="1"/>
              <w:right w:val="single" w:color="BFBFBF" w:sz="1"/>
            </w:tcBorders>
            <w:shd w:fill="DCE9F5" w:val="clear"/>
            <w:tcMar>
              <w:top w:type="dxa" w:w="80"/>
              <w:left w:type="dxa" w:w="120"/>
              <w:bottom w:type="dxa" w:w="80"/>
              <w:right w:type="dxa" w:w="120"/>
            </w:tcMar>
          </w:tcPr>
          <w:p>
            <w:r>
              <w:rPr>
                <w:b/>
                <w:bCs/>
              </w:rPr>
              <w:t xml:space="preserve">Significado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Si</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Mantención Preventiva Realizada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C1 – C8</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Mantención Preventiva Reprogramada (ver causales en el Paso 6)</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Si-RA</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Mantención de Año Anterior Realizada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FS</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Fuera de Servicio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 Realizada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NU</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 Ubicable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Baja</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Equipo Dado de Baja</w:t>
            </w:r>
          </w:p>
        </w:tc>
      </w:tr>
    </w:tbl>
    <w:p>
      <w:pPr>
        <w:spacing w:after="120"/>
      </w:pPr>
      <w:r>
        <w:t xml:space="preserve"/>
      </w:r>
    </w:p>
    <w:p>
      <w:pPr>
        <w:pStyle w:val="Heading2"/>
      </w:pPr>
      <w:r>
        <w:t xml:space="preserve">Paso 6. Reglas de reprogramación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DCE9F5" w:val="clear"/>
            <w:tcMar>
              <w:top w:type="dxa" w:w="80"/>
              <w:left w:type="dxa" w:w="120"/>
              <w:bottom w:type="dxa" w:w="80"/>
              <w:right w:type="dxa" w:w="120"/>
            </w:tcMar>
          </w:tcPr>
          <w:p>
            <w:r>
              <w:rPr>
                <w:b/>
                <w:bCs/>
              </w:rPr>
              <w:t xml:space="preserve">Código</w:t>
            </w:r>
          </w:p>
        </w:tc>
        <w:tc>
          <w:tcPr>
            <w:tcW w:type="dxa" w:w="7560"/>
            <w:tcBorders>
              <w:top w:val="single" w:color="BFBFBF" w:sz="1"/>
              <w:left w:val="single" w:color="BFBFBF" w:sz="1"/>
              <w:bottom w:val="single" w:color="BFBFBF" w:sz="1"/>
              <w:right w:val="single" w:color="BFBFBF" w:sz="1"/>
            </w:tcBorders>
            <w:shd w:fill="DCE9F5" w:val="clear"/>
            <w:tcMar>
              <w:top w:type="dxa" w:w="80"/>
              <w:left w:type="dxa" w:w="120"/>
              <w:bottom w:type="dxa" w:w="80"/>
              <w:right w:type="dxa" w:w="120"/>
            </w:tcMar>
          </w:tcPr>
          <w:p>
            <w:r>
              <w:rPr>
                <w:b/>
                <w:bCs/>
              </w:rPr>
              <w:t xml:space="preserve">Descripción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C1</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Imposibilidad de desocupar el equipo del paciente por indicación clínica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C2</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Equipo en servicio técnico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C3</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Equipo no operativo, a la espera de repuestos o accesorios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C4</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Equipo en préstamo a otro hospital o institución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C5</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 disponibilidad de horas hombre del funcionario SEC por alta carga laboral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C6</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 disponibilidad de horas hombre del servicio técnico externo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C7</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Ausencia justificada del funcionario SEC superior a 15 días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C8</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Contingencia hospitalaria</w:t>
            </w:r>
          </w:p>
        </w:tc>
      </w:tr>
    </w:tbl>
    <w:p>
      <w:pPr>
        <w:spacing w:after="120"/>
      </w:pPr>
      <w:r>
        <w:t xml:space="preserve"/>
      </w:r>
    </w:p>
    <w:p>
      <w:pPr>
        <w:pStyle w:val="ListParagraph"/>
        <w:numPr>
          <w:ilvl w:val="0"/>
          <w:numId w:val="2"/>
        </w:numPr>
        <w:spacing w:after="60"/>
      </w:pPr>
      <w:r>
        <w:rPr>
          <w:b/>
          <w:bCs/>
        </w:rPr>
        <w:t xml:space="preserve">C2, C3, C4: </w:t>
      </w:r>
      <w:r>
        <w:t xml:space="preserve">no se fija nueva fecha; la mantención se registra en el mes real de ejecución una vez que el equipo sea reintegrado.</w:t>
      </w:r>
    </w:p>
    <w:p>
      <w:pPr>
        <w:pStyle w:val="ListParagraph"/>
        <w:numPr>
          <w:ilvl w:val="0"/>
          <w:numId w:val="2"/>
        </w:numPr>
        <w:spacing w:after="60"/>
      </w:pPr>
      <w:r>
        <w:rPr>
          <w:b/>
          <w:bCs/>
        </w:rPr>
        <w:t xml:space="preserve">C1, C5, C6, C7, C8: </w:t>
      </w:r>
      <w:r>
        <w:t xml:space="preserve">debe reprogramarse dentro de los 30 días siguientes. El mes original conserva X en la columna P y la causal en la columna R; el mes de destino lleva R en la columna P.</w:t>
      </w:r>
    </w:p>
    <w:p>
      <w:pPr>
        <w:pStyle w:val="Heading2"/>
      </w:pPr>
      <w:r>
        <w:t xml:space="preserve">Paso 7. Vista de detalle del equipo</w:t>
      </w:r>
    </w:p>
    <w:p>
      <w:pPr>
        <w:pStyle w:val="ListParagraph"/>
        <w:numPr>
          <w:ilvl w:val="0"/>
          <w:numId w:val="2"/>
        </w:numPr>
        <w:spacing w:after="60"/>
      </w:pPr>
      <w:r>
        <w:t xml:space="preserve">Al presionar un equipo en la tabla, abrir una vista que muestre todos sus datos (cada campo se copia al portapapeles con un clic), su historial de mantenciones unificado (una fila por mes con la programación, el resultado de la planilla y los registros de la aplicación), sus pendientes y sus expedientes de mantenimiento correctivo con línea de tiempo.</w:t>
      </w:r>
    </w:p>
    <w:p>
      <w:pPr>
        <w:pStyle w:val="ListParagraph"/>
        <w:numPr>
          <w:ilvl w:val="0"/>
          <w:numId w:val="2"/>
        </w:numPr>
        <w:spacing w:after="60"/>
      </w:pPr>
      <w:r>
        <w:t xml:space="preserve">La vista incluye tres botones: </w:t>
      </w:r>
      <w:r>
        <w:rPr>
          <w:b/>
          <w:bCs/>
        </w:rPr>
        <w:t xml:space="preserve">“Mantenimiento Preventivo”</w:t>
      </w:r>
      <w:r>
        <w:t xml:space="preserve">, </w:t>
      </w:r>
      <w:r>
        <w:rPr>
          <w:b/>
          <w:bCs/>
        </w:rPr>
        <w:t xml:space="preserve">“Pendientes”</w:t>
      </w:r>
      <w:r>
        <w:t xml:space="preserve"> y </w:t>
      </w:r>
      <w:r>
        <w:rPr>
          <w:b/>
          <w:bCs/>
        </w:rPr>
        <w:t xml:space="preserve">“Mantenimiento Correctivo”</w:t>
      </w:r>
      <w:r>
        <w:t xml:space="preserve">.</w:t>
      </w:r>
    </w:p>
    <w:p>
      <w:pPr>
        <w:pStyle w:val="Heading2"/>
      </w:pPr>
      <w:r>
        <w:t xml:space="preserve">Paso 8. Formulario de Mantenimiento Preventivo</w:t>
      </w:r>
    </w:p>
    <w:p>
      <w:pPr>
        <w:spacing w:after="120"/>
      </w:pPr>
      <w:r>
        <w:t xml:space="preserve">Al presionar el botón “Mantenimiento Preventivo”, desplegar un formulario con los siguientes campos:</w:t>
      </w:r>
    </w:p>
    <w:p>
      <w:pPr>
        <w:pStyle w:val="ListParagraph"/>
        <w:numPr>
          <w:ilvl w:val="0"/>
          <w:numId w:val="2"/>
        </w:numPr>
        <w:spacing w:after="60"/>
      </w:pPr>
      <w:r>
        <w:rPr>
          <w:b/>
          <w:bCs/>
        </w:rPr>
        <w:t xml:space="preserve">Fecha</w:t>
      </w:r>
      <w:r>
        <w:t xml:space="preserve"> de la mantención.</w:t>
      </w:r>
    </w:p>
    <w:p>
      <w:pPr>
        <w:pStyle w:val="ListParagraph"/>
        <w:numPr>
          <w:ilvl w:val="0"/>
          <w:numId w:val="2"/>
        </w:numPr>
        <w:spacing w:after="60"/>
      </w:pPr>
      <w:r>
        <w:rPr>
          <w:b/>
          <w:bCs/>
        </w:rPr>
        <w:t xml:space="preserve">Programación: </w:t>
      </w:r>
      <w:r>
        <w:t xml:space="preserve">lista desplegable con las opciones X, R, RA y PM.</w:t>
      </w:r>
    </w:p>
    <w:p>
      <w:pPr>
        <w:pStyle w:val="ListParagraph"/>
        <w:numPr>
          <w:ilvl w:val="0"/>
          <w:numId w:val="2"/>
        </w:numPr>
        <w:spacing w:after="60"/>
      </w:pPr>
      <w:r>
        <w:rPr>
          <w:b/>
          <w:bCs/>
        </w:rPr>
        <w:t xml:space="preserve">Ejecutor: </w:t>
      </w:r>
      <w:r>
        <w:t xml:space="preserve">lista desplegable con las siguientes opciones:</w:t>
      </w:r>
    </w:p>
    <w:p>
      <w:pPr>
        <w:pStyle w:val="ListParagraph"/>
        <w:numPr>
          <w:ilvl w:val="1"/>
          <w:numId w:val="2"/>
        </w:numPr>
        <w:spacing w:after="60"/>
      </w:pPr>
      <w:r>
        <w:t xml:space="preserve">Carlos Bahamondes Seguel</w:t>
      </w:r>
    </w:p>
    <w:p>
      <w:pPr>
        <w:pStyle w:val="ListParagraph"/>
        <w:numPr>
          <w:ilvl w:val="1"/>
          <w:numId w:val="2"/>
        </w:numPr>
        <w:spacing w:after="60"/>
      </w:pPr>
      <w:r>
        <w:t xml:space="preserve">Cristián Beltrán Oviedo</w:t>
      </w:r>
    </w:p>
    <w:p>
      <w:pPr>
        <w:pStyle w:val="ListParagraph"/>
        <w:numPr>
          <w:ilvl w:val="1"/>
          <w:numId w:val="2"/>
        </w:numPr>
        <w:spacing w:after="60"/>
      </w:pPr>
      <w:r>
        <w:t xml:space="preserve">Cristina Rozas Urrutia</w:t>
      </w:r>
    </w:p>
    <w:p>
      <w:pPr>
        <w:pStyle w:val="ListParagraph"/>
        <w:numPr>
          <w:ilvl w:val="1"/>
          <w:numId w:val="2"/>
        </w:numPr>
        <w:spacing w:after="60"/>
      </w:pPr>
      <w:r>
        <w:t xml:space="preserve">Daniel Díaz Neira</w:t>
      </w:r>
    </w:p>
    <w:p>
      <w:pPr>
        <w:pStyle w:val="ListParagraph"/>
        <w:numPr>
          <w:ilvl w:val="1"/>
          <w:numId w:val="2"/>
        </w:numPr>
        <w:spacing w:after="60"/>
      </w:pPr>
      <w:r>
        <w:t xml:space="preserve">Ignacio Berner Bergara</w:t>
      </w:r>
    </w:p>
    <w:p>
      <w:pPr>
        <w:pStyle w:val="ListParagraph"/>
        <w:numPr>
          <w:ilvl w:val="1"/>
          <w:numId w:val="2"/>
        </w:numPr>
        <w:spacing w:after="60"/>
      </w:pPr>
      <w:r>
        <w:t xml:space="preserve">Macarena Toledo</w:t>
      </w:r>
    </w:p>
    <w:p>
      <w:pPr>
        <w:pStyle w:val="ListParagraph"/>
        <w:numPr>
          <w:ilvl w:val="1"/>
          <w:numId w:val="2"/>
        </w:numPr>
        <w:spacing w:after="60"/>
      </w:pPr>
      <w:r>
        <w:t xml:space="preserve">Marco Ulloa</w:t>
      </w:r>
    </w:p>
    <w:p>
      <w:pPr>
        <w:pStyle w:val="ListParagraph"/>
        <w:numPr>
          <w:ilvl w:val="1"/>
          <w:numId w:val="2"/>
        </w:numPr>
        <w:spacing w:after="60"/>
      </w:pPr>
      <w:r>
        <w:t xml:space="preserve">Matías Soazo Garrido</w:t>
      </w:r>
    </w:p>
    <w:p>
      <w:pPr>
        <w:pStyle w:val="ListParagraph"/>
        <w:numPr>
          <w:ilvl w:val="1"/>
          <w:numId w:val="2"/>
        </w:numPr>
        <w:spacing w:after="60"/>
      </w:pPr>
      <w:r>
        <w:t xml:space="preserve">Ricardo Matus Aroca</w:t>
      </w:r>
    </w:p>
    <w:p>
      <w:pPr>
        <w:pStyle w:val="ListParagraph"/>
        <w:numPr>
          <w:ilvl w:val="1"/>
          <w:numId w:val="2"/>
        </w:numPr>
        <w:spacing w:after="60"/>
      </w:pPr>
      <w:r>
        <w:t xml:space="preserve">Tito Millapán Riquelme</w:t>
      </w:r>
    </w:p>
    <w:p>
      <w:pPr>
        <w:pStyle w:val="ListParagraph"/>
        <w:numPr>
          <w:ilvl w:val="1"/>
          <w:numId w:val="2"/>
        </w:numPr>
        <w:spacing w:after="60"/>
      </w:pPr>
      <w:r>
        <w:t xml:space="preserve">Personal Externo</w:t>
      </w:r>
    </w:p>
    <w:p>
      <w:pPr>
        <w:pStyle w:val="ListParagraph"/>
        <w:numPr>
          <w:ilvl w:val="0"/>
          <w:numId w:val="2"/>
        </w:numPr>
        <w:spacing w:after="60"/>
      </w:pPr>
      <w:r>
        <w:rPr>
          <w:b/>
          <w:bCs/>
        </w:rPr>
        <w:t xml:space="preserve">Resultado: </w:t>
      </w:r>
      <w:r>
        <w:t xml:space="preserve">lista desplegable con: Si, C1, C2, C3, C4, C5, C6, C7, C8, Si-RA, FS, No, NU y Baja.</w:t>
      </w:r>
    </w:p>
    <w:p>
      <w:pPr>
        <w:pStyle w:val="ListParagraph"/>
        <w:numPr>
          <w:ilvl w:val="0"/>
          <w:numId w:val="2"/>
        </w:numPr>
        <w:spacing w:after="60"/>
      </w:pPr>
      <w:r>
        <w:rPr>
          <w:b/>
          <w:bCs/>
        </w:rPr>
        <w:t xml:space="preserve">Observaciones: </w:t>
      </w:r>
      <w:r>
        <w:t xml:space="preserve">campo de texto opcional.</w:t>
      </w:r>
    </w:p>
    <w:p>
      <w:pPr>
        <w:pStyle w:val="ListParagraph"/>
        <w:numPr>
          <w:ilvl w:val="0"/>
          <w:numId w:val="2"/>
        </w:numPr>
        <w:spacing w:after="60"/>
      </w:pPr>
      <w:r>
        <w:rPr>
          <w:b/>
          <w:bCs/>
        </w:rPr>
        <w:t xml:space="preserve">Estado del equipo: </w:t>
      </w:r>
      <w:r>
        <w:t xml:space="preserve">dos botones — Operativo / No Operativo.</w:t>
      </w:r>
    </w:p>
    <w:p>
      <w:pPr>
        <w:pStyle w:val="ListParagraph"/>
        <w:numPr>
          <w:ilvl w:val="0"/>
          <w:numId w:val="2"/>
        </w:numPr>
        <w:spacing w:after="60"/>
      </w:pPr>
      <w:r>
        <w:rPr>
          <w:b/>
          <w:bCs/>
        </w:rPr>
        <w:t xml:space="preserve">Tipo de mantenimiento: </w:t>
      </w:r>
      <w:r>
        <w:t xml:space="preserve">dos botones — Interno / Externo. Define el protocolo de tareas que se generará en el pendiente al marcar gestión pendiente.</w:t>
      </w:r>
    </w:p>
    <w:p>
      <w:pPr>
        <w:pStyle w:val="ListParagraph"/>
        <w:numPr>
          <w:ilvl w:val="0"/>
          <w:numId w:val="2"/>
        </w:numPr>
        <w:spacing w:after="60"/>
      </w:pPr>
      <w:r>
        <w:rPr>
          <w:b/>
          <w:bCs/>
        </w:rPr>
        <w:t xml:space="preserve">Gestión pendiente: </w:t>
      </w:r>
      <w:r>
        <w:t xml:space="preserve">casilla de selección Sí / No. Al marcarla, el sistema genera automáticamente un pendiente vinculado a esta mantención con una lista de protocolo predeterminada según el tipo de mantenimiento: Interno genera «Protocolo de mantenimiento Interno»; Externo genera «Protocolo de mantenimiento Interno» y «Protocolo de mantenimiento Externo». La fecha de compromiso es a 30 días si el resultado es una causal de reprogramación; el pendiente queda en la bandeja aunque no se complete el formulario que se abre para enriquecerlo, y no se duplica si la mantención se vuelve a guardar.</w:t>
      </w:r>
    </w:p>
    <w:p>
      <w:pPr>
        <w:pStyle w:val="ListParagraph"/>
        <w:numPr>
          <w:ilvl w:val="0"/>
          <w:numId w:val="2"/>
        </w:numPr>
        <w:spacing w:after="60"/>
      </w:pPr>
      <w:r>
        <w:rPr>
          <w:b/>
          <w:bCs/>
        </w:rPr>
        <w:t xml:space="preserve">Tipo de registro: </w:t>
      </w:r>
      <w:r>
        <w:t xml:space="preserve">dos botones — Oficial / Borrador.</w:t>
      </w:r>
    </w:p>
    <w:p>
      <w:pPr>
        <w:pStyle w:val="Heading2"/>
      </w:pPr>
      <w:r>
        <w:t xml:space="preserve">Paso 9. Formulario de Pendientes</w:t>
      </w:r>
    </w:p>
    <w:p>
      <w:pPr>
        <w:spacing w:after="120"/>
      </w:pPr>
      <w:r>
        <w:t xml:space="preserve">Al presionar el botón “Pendientes”, desplegar un formulario con los siguientes campos:</w:t>
      </w:r>
    </w:p>
    <w:p>
      <w:pPr>
        <w:pStyle w:val="ListParagraph"/>
        <w:numPr>
          <w:ilvl w:val="0"/>
          <w:numId w:val="2"/>
        </w:numPr>
        <w:spacing w:after="60"/>
      </w:pPr>
      <w:r>
        <w:rPr>
          <w:b/>
          <w:bCs/>
        </w:rPr>
        <w:t xml:space="preserve">Fecha de compromiso: </w:t>
      </w:r>
      <w:r>
        <w:t xml:space="preserve">con opciones rápidas de Hoy, 3 días y 1 semana a partir de hoy.</w:t>
      </w:r>
    </w:p>
    <w:p>
      <w:pPr>
        <w:pStyle w:val="ListParagraph"/>
        <w:numPr>
          <w:ilvl w:val="0"/>
          <w:numId w:val="2"/>
        </w:numPr>
        <w:spacing w:after="60"/>
      </w:pPr>
      <w:r>
        <w:rPr>
          <w:b/>
          <w:bCs/>
        </w:rPr>
        <w:t xml:space="preserve">Tipo de pendiente: </w:t>
      </w:r>
      <w:r>
        <w:t xml:space="preserve">lista desplegable con: Reprogramación Mantención Preventiva, Protocolo Interno de Mantenimiento, Protocolo Externo de Mantenimiento, Pauta de Monitoreo Diario, Imprimir Documento y Otro. Al elegir «Protocolo Interno de Mantenimiento» o «Protocolo Externo de Mantenimiento» (o al abrir un pendiente que ya tenga ese tipo) se arma automáticamente la lista de tareas de protocolo correspondiente.</w:t>
      </w:r>
    </w:p>
    <w:p>
      <w:pPr>
        <w:pStyle w:val="ListParagraph"/>
        <w:numPr>
          <w:ilvl w:val="0"/>
          <w:numId w:val="2"/>
        </w:numPr>
        <w:spacing w:after="60"/>
      </w:pPr>
      <w:r>
        <w:rPr>
          <w:b/>
          <w:bCs/>
        </w:rPr>
        <w:t xml:space="preserve">Descripción: </w:t>
      </w:r>
      <w:r>
        <w:t xml:space="preserve">campo de texto opcional.</w:t>
      </w:r>
    </w:p>
    <w:p>
      <w:pPr>
        <w:pStyle w:val="ListParagraph"/>
        <w:numPr>
          <w:ilvl w:val="0"/>
          <w:numId w:val="2"/>
        </w:numPr>
        <w:spacing w:after="60"/>
      </w:pPr>
      <w:r>
        <w:rPr>
          <w:b/>
          <w:bCs/>
        </w:rPr>
        <w:t xml:space="preserve">Tareas: </w:t>
      </w:r>
      <w:r>
        <w:t xml:space="preserve">listado de tareas asociadas al pendiente. Las tareas de protocolo se marcan con uno de cuatro estados — Sí / No / Imprimir / Gestión — y admiten comentarios y actualizaciones propios con fecha. Al marcar «Gestión» se habilita una lista de subtareas (con casilla, agregar y quitar) para desglosar la gestión a realizar; el protocolo en Gestión se da por resuelto cuando todas sus subtareas están listas. El contador «resueltas / total» considera resueltas las de respuesta definitiva (Sí o No) y las de Gestión con todas sus subtareas hechas. El texto escrito en «Nueva tarea» o «Nueva gestión» que no se haya agregado se incorpora al guardar para no perderlo.</w:t>
      </w:r>
    </w:p>
    <w:p>
      <w:pPr>
        <w:pStyle w:val="ListParagraph"/>
        <w:numPr>
          <w:ilvl w:val="0"/>
          <w:numId w:val="2"/>
        </w:numPr>
        <w:spacing w:after="60"/>
      </w:pPr>
      <w:r>
        <w:rPr>
          <w:b/>
          <w:bCs/>
        </w:rPr>
        <w:t xml:space="preserve">Responsable Administrativo: </w:t>
      </w:r>
      <w:r>
        <w:t xml:space="preserve">lista desplegable con los mismos ejecutores del Paso 8, con Cristián Beltrán Oviedo por defecto.</w:t>
      </w:r>
    </w:p>
    <w:p>
      <w:pPr>
        <w:pStyle w:val="ListParagraph"/>
        <w:numPr>
          <w:ilvl w:val="0"/>
          <w:numId w:val="2"/>
        </w:numPr>
        <w:spacing w:after="60"/>
      </w:pPr>
      <w:r>
        <w:rPr>
          <w:b/>
          <w:bCs/>
        </w:rPr>
        <w:t xml:space="preserve">Responsable Ejecutivo: </w:t>
      </w:r>
      <w:r>
        <w:t xml:space="preserve">lista desplegable con los mismos ejecutores del Paso 8.</w:t>
      </w:r>
    </w:p>
    <w:p>
      <w:pPr>
        <w:pStyle w:val="ListParagraph"/>
        <w:numPr>
          <w:ilvl w:val="0"/>
          <w:numId w:val="2"/>
        </w:numPr>
        <w:spacing w:after="60"/>
      </w:pPr>
      <w:r>
        <w:rPr>
          <w:b/>
          <w:bCs/>
        </w:rPr>
        <w:t xml:space="preserve">Gestión asociada: </w:t>
      </w:r>
      <w:r>
        <w:t xml:space="preserve">recuadro para registrar las actualizaciones del pendiente.</w:t>
      </w:r>
    </w:p>
    <w:p>
      <w:pPr>
        <w:pStyle w:val="ListParagraph"/>
        <w:numPr>
          <w:ilvl w:val="0"/>
          <w:numId w:val="2"/>
        </w:numPr>
        <w:spacing w:after="60"/>
      </w:pPr>
      <w:r>
        <w:t xml:space="preserve">Bandeja de gestión de pendientes: la vista global presenta los pendientes en una tabla tipo Excel — una fila por pendiente con columnas Equipo, Serie, N° Inventario, Servicio, Tipo, Urgencia (Atrasado / Hoy / Esta semana / Próximo / En espera / Completado), Estado de gestión, Compromiso, Días de atraso, Tareas, Responsables, En espera de, Última gestión y Fecha de completado — todas con filtros tipo Excel; la búsqueda global cubre todas las columnas, incluido el N° de inventario y la serie. Orden por urgencia por defecto, filas coloreadas según situación y exportación de la vista filtrada; con métricas de cabecera (abiertos, atrasados, en espera, completados de la semana y tiempo medio de resolución).</w:t>
      </w:r>
    </w:p>
    <w:p>
      <w:pPr>
        <w:pStyle w:val="ListParagraph"/>
        <w:numPr>
          <w:ilvl w:val="0"/>
          <w:numId w:val="2"/>
        </w:numPr>
        <w:spacing w:after="60"/>
      </w:pPr>
      <w:r>
        <w:t xml:space="preserve">Acciones rápidas en cada fila, sin abrir el formulario: completar (registra la fecha de completado y gestión automática), posponer el compromiso (+1, +3 o +7 días, dejando constancia), marcar En espera de un tercero con motivo (y reanudar), marcar tareas y registrar gestiones en línea.</w:t>
      </w:r>
    </w:p>
    <w:p>
      <w:pPr>
        <w:pStyle w:val="ListParagraph"/>
        <w:numPr>
          <w:ilvl w:val="0"/>
          <w:numId w:val="2"/>
        </w:numPr>
        <w:spacing w:after="60"/>
      </w:pPr>
      <w:r>
        <w:t xml:space="preserve">El estado de gestión se deduce automáticamente: Nuevo (sin actividad), En gestión (con gestiones o tareas marcadas), En espera (marcado con motivo) y Completado (con fecha); el atraso es transversal a cualquier estado abierto.</w:t>
      </w:r>
    </w:p>
    <w:p>
      <w:pPr>
        <w:pStyle w:val="ListParagraph"/>
        <w:numPr>
          <w:ilvl w:val="0"/>
          <w:numId w:val="2"/>
        </w:numPr>
        <w:spacing w:after="60"/>
      </w:pPr>
      <w:r>
        <w:t xml:space="preserve">Trabajo en la propia tabla: cada fila se despliega con un clic mostrando las tareas marcables, la bitácora completa de gestión y una caja para registrar gestiones, sin abrir el formulario. Al marcar la última tarea, el sistema ofrece completar el pendiente; al completar con tareas abiertas, advierte cuántas faltan antes de confirmar. Al abrir la aplicación se avisa si existen pendientes atrasados.</w:t>
      </w:r>
    </w:p>
    <w:p>
      <w:pPr>
        <w:pStyle w:val="Heading2"/>
      </w:pPr>
      <w:r>
        <w:t xml:space="preserve">Paso 10. Formulario de Mantenimiento Correctivo</w:t>
      </w:r>
    </w:p>
    <w:p>
      <w:pPr>
        <w:spacing w:after="120"/>
      </w:pPr>
      <w:r>
        <w:t xml:space="preserve">Al presionar el botón “Mantenimiento Correctivo”, desplegar una lista desplegable de tipo de evento con las opciones Orden de Trabajo y Reporte de Servicio. Al seleccionar una opción, se solicita un formulario con los siguientes campos:</w:t>
      </w:r>
    </w:p>
    <w:p>
      <w:pPr>
        <w:pStyle w:val="ListParagraph"/>
        <w:numPr>
          <w:ilvl w:val="0"/>
          <w:numId w:val="2"/>
        </w:numPr>
        <w:spacing w:after="60"/>
      </w:pPr>
      <w:r>
        <w:rPr>
          <w:b/>
          <w:bCs/>
        </w:rPr>
        <w:t xml:space="preserve">Requerimiento: </w:t>
      </w:r>
      <w:r>
        <w:t xml:space="preserve">campo opcional.</w:t>
      </w:r>
    </w:p>
    <w:p>
      <w:pPr>
        <w:pStyle w:val="ListParagraph"/>
        <w:numPr>
          <w:ilvl w:val="0"/>
          <w:numId w:val="2"/>
        </w:numPr>
        <w:spacing w:after="60"/>
      </w:pPr>
      <w:r>
        <w:rPr>
          <w:b/>
          <w:bCs/>
        </w:rPr>
        <w:t xml:space="preserve">Fecha del documento.</w:t>
      </w:r>
    </w:p>
    <w:p>
      <w:pPr>
        <w:pStyle w:val="ListParagraph"/>
        <w:numPr>
          <w:ilvl w:val="0"/>
          <w:numId w:val="2"/>
        </w:numPr>
        <w:spacing w:after="60"/>
      </w:pPr>
      <w:r>
        <w:rPr>
          <w:b/>
          <w:bCs/>
        </w:rPr>
        <w:t xml:space="preserve">Folio de Solicitud de SIGEM.</w:t>
      </w:r>
    </w:p>
    <w:p>
      <w:pPr>
        <w:pStyle w:val="ListParagraph"/>
        <w:numPr>
          <w:ilvl w:val="0"/>
          <w:numId w:val="2"/>
        </w:numPr>
        <w:spacing w:after="60"/>
      </w:pPr>
      <w:r>
        <w:rPr>
          <w:b/>
          <w:bCs/>
        </w:rPr>
        <w:t xml:space="preserve">Técnico asignado: </w:t>
      </w:r>
      <w:r>
        <w:t xml:space="preserve">lista desplegable con los mismos nombres de la lista Ejecutor:</w:t>
      </w:r>
    </w:p>
    <w:p>
      <w:pPr>
        <w:pStyle w:val="ListParagraph"/>
        <w:numPr>
          <w:ilvl w:val="1"/>
          <w:numId w:val="2"/>
        </w:numPr>
        <w:spacing w:after="60"/>
      </w:pPr>
      <w:r>
        <w:t xml:space="preserve">Carlos Bahamondes Seguel</w:t>
      </w:r>
    </w:p>
    <w:p>
      <w:pPr>
        <w:pStyle w:val="ListParagraph"/>
        <w:numPr>
          <w:ilvl w:val="1"/>
          <w:numId w:val="2"/>
        </w:numPr>
        <w:spacing w:after="60"/>
      </w:pPr>
      <w:r>
        <w:t xml:space="preserve">Cristián Beltrán Oviedo</w:t>
      </w:r>
    </w:p>
    <w:p>
      <w:pPr>
        <w:pStyle w:val="ListParagraph"/>
        <w:numPr>
          <w:ilvl w:val="1"/>
          <w:numId w:val="2"/>
        </w:numPr>
        <w:spacing w:after="60"/>
      </w:pPr>
      <w:r>
        <w:t xml:space="preserve">Cristina Rozas Urrutia</w:t>
      </w:r>
    </w:p>
    <w:p>
      <w:pPr>
        <w:pStyle w:val="ListParagraph"/>
        <w:numPr>
          <w:ilvl w:val="1"/>
          <w:numId w:val="2"/>
        </w:numPr>
        <w:spacing w:after="60"/>
      </w:pPr>
      <w:r>
        <w:t xml:space="preserve">Daniel Díaz Neira</w:t>
      </w:r>
    </w:p>
    <w:p>
      <w:pPr>
        <w:pStyle w:val="ListParagraph"/>
        <w:numPr>
          <w:ilvl w:val="1"/>
          <w:numId w:val="2"/>
        </w:numPr>
        <w:spacing w:after="60"/>
      </w:pPr>
      <w:r>
        <w:t xml:space="preserve">Ignacio Berner Bergara</w:t>
      </w:r>
    </w:p>
    <w:p>
      <w:pPr>
        <w:pStyle w:val="ListParagraph"/>
        <w:numPr>
          <w:ilvl w:val="1"/>
          <w:numId w:val="2"/>
        </w:numPr>
        <w:spacing w:after="60"/>
      </w:pPr>
      <w:r>
        <w:t xml:space="preserve">Macarena Toledo</w:t>
      </w:r>
    </w:p>
    <w:p>
      <w:pPr>
        <w:pStyle w:val="ListParagraph"/>
        <w:numPr>
          <w:ilvl w:val="1"/>
          <w:numId w:val="2"/>
        </w:numPr>
        <w:spacing w:after="60"/>
      </w:pPr>
      <w:r>
        <w:t xml:space="preserve">Marco Ulloa</w:t>
      </w:r>
    </w:p>
    <w:p>
      <w:pPr>
        <w:pStyle w:val="ListParagraph"/>
        <w:numPr>
          <w:ilvl w:val="1"/>
          <w:numId w:val="2"/>
        </w:numPr>
        <w:spacing w:after="60"/>
      </w:pPr>
      <w:r>
        <w:t xml:space="preserve">Matías Soazo Garrido</w:t>
      </w:r>
    </w:p>
    <w:p>
      <w:pPr>
        <w:pStyle w:val="ListParagraph"/>
        <w:numPr>
          <w:ilvl w:val="1"/>
          <w:numId w:val="2"/>
        </w:numPr>
        <w:spacing w:after="60"/>
      </w:pPr>
      <w:r>
        <w:t xml:space="preserve">Ricardo Matus Aroca</w:t>
      </w:r>
    </w:p>
    <w:p>
      <w:pPr>
        <w:pStyle w:val="ListParagraph"/>
        <w:numPr>
          <w:ilvl w:val="1"/>
          <w:numId w:val="2"/>
        </w:numPr>
        <w:spacing w:after="60"/>
      </w:pPr>
      <w:r>
        <w:t xml:space="preserve">Tito Millapán Riquelme</w:t>
      </w:r>
    </w:p>
    <w:p>
      <w:pPr>
        <w:pStyle w:val="ListParagraph"/>
        <w:numPr>
          <w:ilvl w:val="1"/>
          <w:numId w:val="2"/>
        </w:numPr>
        <w:spacing w:after="60"/>
      </w:pPr>
      <w:r>
        <w:t xml:space="preserve">Personal Externo</w:t>
      </w:r>
    </w:p>
    <w:p>
      <w:pPr>
        <w:pStyle w:val="ListParagraph"/>
        <w:numPr>
          <w:ilvl w:val="0"/>
          <w:numId w:val="2"/>
        </w:numPr>
        <w:spacing w:after="60"/>
      </w:pPr>
      <w:r>
        <w:rPr>
          <w:b/>
          <w:bCs/>
        </w:rPr>
        <w:t xml:space="preserve">Estado del equipo: </w:t>
      </w:r>
      <w:r>
        <w:t xml:space="preserve">lista desplegable con las opciones Operativo / No Operativo / Servicio Técnico.</w:t>
      </w:r>
    </w:p>
    <w:p>
      <w:pPr>
        <w:pStyle w:val="ListParagraph"/>
        <w:numPr>
          <w:ilvl w:val="0"/>
          <w:numId w:val="2"/>
        </w:numPr>
        <w:spacing w:after="60"/>
      </w:pPr>
      <w:r>
        <w:t xml:space="preserve">Tipo de compra: lista desplegable con las opciones Trato Directo y Compra Ágil.</w:t>
      </w:r>
    </w:p>
    <w:p>
      <w:pPr>
        <w:pStyle w:val="ListParagraph"/>
        <w:numPr>
          <w:ilvl w:val="0"/>
          <w:numId w:val="2"/>
        </w:numPr>
        <w:spacing w:after="60"/>
      </w:pPr>
      <w:r>
        <w:t xml:space="preserve">Si la compra es por Trato Directo, se solicita un formulario para registrar el número de informe técnico, la fecha del informe técnico, el responsable del informe técnico (lista desplegable con los mismos nombres de la lista Ejecutor) y una lista desplegable con empresas.</w:t>
      </w:r>
    </w:p>
    <w:p>
      <w:pPr>
        <w:pStyle w:val="ListParagraph"/>
        <w:numPr>
          <w:ilvl w:val="0"/>
          <w:numId w:val="2"/>
        </w:numPr>
        <w:spacing w:after="60"/>
      </w:pPr>
      <w:r>
        <w:t xml:space="preserve">Orden de compra: registro del número, la fecha y la descripción de la orden de compra asociada (Trato Directo o Compra Ágil).</w:t>
      </w:r>
    </w:p>
    <w:p>
      <w:pPr>
        <w:pStyle w:val="ListParagraph"/>
        <w:numPr>
          <w:ilvl w:val="0"/>
          <w:numId w:val="2"/>
        </w:numPr>
        <w:spacing w:after="60"/>
      </w:pPr>
      <w:r>
        <w:t xml:space="preserve">Estado del evento: Abierto / Cerrado; al cerrar el evento se registra la fecha de cierre.</w:t>
      </w:r>
    </w:p>
    <w:p>
      <w:pPr>
        <w:pStyle w:val="ListParagraph"/>
        <w:numPr>
          <w:ilvl w:val="0"/>
          <w:numId w:val="2"/>
        </w:numPr>
        <w:spacing w:after="60"/>
      </w:pPr>
      <w:r>
        <w:t xml:space="preserve">Envío a Servicio Técnico: se registra como avance del expediente de la Orden de Trabajo («Registrar avance»), solicitando la fecha de envío, la empresa de destino (lista desplegable) y el número de envío (ambos obligatorios), con descripción opcional; el equipo queda en estado Servicio Técnico desde el envío hasta su retorno (Visita / Ejecución) o cierre, y la etapa del expediente pasa a «En servicio técnico externo · esperando retorno». Los envíos registrados como eventos en versiones anteriores se conservan y se muestran dentro del expediente por su folio.</w:t>
      </w:r>
    </w:p>
    <w:p>
      <w:pPr>
        <w:pStyle w:val="ListParagraph"/>
        <w:numPr>
          <w:ilvl w:val="0"/>
          <w:numId w:val="2"/>
        </w:numPr>
        <w:spacing w:after="60"/>
      </w:pPr>
      <w:r>
        <w:t xml:space="preserve">Retorno de Servicio Técnico: avance del expediente que registra la vuelta del equipo, conectado automáticamente con el último envío registrado (empresa prellenada) y con el folio de la Orden de Trabajo del expediente; solicita la fecha de retorno, el folio de retorno (obligatorio), la empresa, quién lo envió (persona de la empresa, opcional) y cómo quedó el equipo (Operativo / No Operativo). Si retorna Operativo, la etapa pasa a «Retornado · por cerrar» y la racha de detención termina; si retorna No Operativo, la etapa pasa a «Retornado sin reparar · evaluar» y el expediente sigue crítico.</w:t>
      </w:r>
    </w:p>
    <w:p>
      <w:pPr>
        <w:pStyle w:val="ListParagraph"/>
        <w:numPr>
          <w:ilvl w:val="0"/>
          <w:numId w:val="2"/>
        </w:numPr>
        <w:spacing w:after="60"/>
      </w:pPr>
      <w:r>
        <w:rPr>
          <w:b/>
          <w:bCs/>
        </w:rPr>
        <w:t xml:space="preserve">Gestión pendiente: </w:t>
      </w:r>
      <w:r>
        <w:t xml:space="preserve">casilla de selección Sí / No.</w:t>
      </w:r>
    </w:p>
    <w:p>
      <w:pPr>
        <w:pStyle w:val="ListParagraph"/>
        <w:numPr>
          <w:ilvl w:val="0"/>
          <w:numId w:val="2"/>
        </w:numPr>
        <w:spacing w:after="60"/>
      </w:pPr>
      <w:r>
        <w:rPr>
          <w:b/>
          <w:bCs/>
        </w:rPr>
        <w:t xml:space="preserve">Tipo de registro: </w:t>
      </w:r>
      <w:r>
        <w:t xml:space="preserve">dos botones — Oficial / Borrador.</w:t>
      </w:r>
    </w:p>
    <w:p>
      <w:pPr>
        <w:pStyle w:val="Heading2"/>
      </w:pPr>
      <w:r>
        <w:t xml:space="preserve">Flujo del Mantenimiento Correctivo — Ciclo de la Orden de Trabajo</w:t>
      </w:r>
    </w:p>
    <w:p>
      <w:pPr>
        <w:pStyle w:val="ListParagraph"/>
        <w:numPr>
          <w:ilvl w:val="0"/>
          <w:numId w:val="2"/>
        </w:numPr>
        <w:spacing w:after="60"/>
      </w:pPr>
      <w:r>
        <w:t xml:space="preserve">Etapa 1 — Apertura: se genera la OT (folio SIGEM, requerimiento, técnico asignado) y se registra el estado del equipo. Equipo Operativo con falla: flujo normal (se mide el ciclo administrativo). Equipo No Operativo: flujo crítico (se miden los días de detención y se crea de inmediato una gestión pendiente con las tareas del ciclo). El evento nace Abierto.</w:t>
      </w:r>
    </w:p>
    <w:p>
      <w:pPr>
        <w:pStyle w:val="ListParagraph"/>
        <w:numPr>
          <w:ilvl w:val="0"/>
          <w:numId w:val="2"/>
        </w:numPr>
        <w:spacing w:after="60"/>
      </w:pPr>
      <w:r>
        <w:t xml:space="preserve">Etapa 2 — Evaluación técnica: el técnico evalúa la falla y define el camino: reparación interna (pasa a Ejecución), compra de repuesto o servicio (pasa a Gestión de compra) o Envío a Servicio Técnico (evento propio; el equipo queda en estado Servicio Técnico).</w:t>
      </w:r>
    </w:p>
    <w:p>
      <w:pPr>
        <w:pStyle w:val="ListParagraph"/>
        <w:numPr>
          <w:ilvl w:val="0"/>
          <w:numId w:val="2"/>
        </w:numPr>
        <w:spacing w:after="60"/>
      </w:pPr>
      <w:r>
        <w:t xml:space="preserve">Etapa 3 — Gestión de compra, en este orden: 1) solicitar cotización al proveedor; 2) recibir la cotización (n° y fecha); 3) elaborar el informe técnico respaldado en la cotización (n°, fecha y responsable); 4) emitir la orden de compra (Trato Directo o Compra Ágil, con n°, fecha y descripción); 5) enviar la orden de compra al proveedor (desde aquí corre el plazo del proveedor). Cada paso se registra como tarea del pendiente y actualización de la gestión asociada.</w:t>
      </w:r>
    </w:p>
    <w:p>
      <w:pPr>
        <w:pStyle w:val="ListParagraph"/>
        <w:numPr>
          <w:ilvl w:val="0"/>
          <w:numId w:val="2"/>
        </w:numPr>
        <w:spacing w:after="60"/>
      </w:pPr>
      <w:r>
        <w:t xml:space="preserve">Etapa 4 — Espera y recepción: seguimiento del repuesto o de la visita del proveedor mediante la gestión asociada del pendiente.</w:t>
      </w:r>
    </w:p>
    <w:p>
      <w:pPr>
        <w:pStyle w:val="ListParagraph"/>
        <w:numPr>
          <w:ilvl w:val="0"/>
          <w:numId w:val="2"/>
        </w:numPr>
        <w:spacing w:after="60"/>
      </w:pPr>
      <w:r>
        <w:t xml:space="preserve">Etapa 5 — Ejecución: Reporte de Servicio con el mismo folio SIGEM (trabajo realizado, repuestos y pruebas de funcionamiento); se actualiza el estado del equipo, normalmente su retorno a Operativo.</w:t>
      </w:r>
    </w:p>
    <w:p>
      <w:pPr>
        <w:pStyle w:val="ListParagraph"/>
        <w:numPr>
          <w:ilvl w:val="0"/>
          <w:numId w:val="2"/>
        </w:numPr>
        <w:spacing w:after="60"/>
      </w:pPr>
      <w:r>
        <w:t xml:space="preserve">Etapa 6 — Cierre: el evento pasa a Cerrado con su fecha de cierre y se completa el pendiente. Métricas resultantes: ciclo total, días de detención (flujo crítico) y días por etapa.</w:t>
      </w:r>
    </w:p>
    <w:p>
      <w:pPr>
        <w:pStyle w:val="ListParagraph"/>
        <w:numPr>
          <w:ilvl w:val="0"/>
          <w:numId w:val="2"/>
        </w:numPr>
        <w:spacing w:after="60"/>
      </w:pPr>
      <w:r>
        <w:t xml:space="preserve">Reglas transversales: un folio SIGEM agrupa la OT con sus Reportes de Servicio y Envíos a Servicio Técnico (un expediente); una misma orden de compra puede cubrir varios equipos, cada uno con su propio evento y folio; la ficha del equipo refleja siempre el estado del último evento registrado (preventivo o correctivo).</w:t>
      </w:r>
    </w:p>
    <w:p>
      <w:pPr>
        <w:pStyle w:val="ListParagraph"/>
        <w:numPr>
          <w:ilvl w:val="0"/>
          <w:numId w:val="2"/>
        </w:numPr>
        <w:spacing w:after="60"/>
      </w:pPr>
      <w:r>
        <w:t xml:space="preserve">Actualización del expediente: los avances del flujo (cotización solicitada y recibida, informe técnico, OC emitida, OC enviada al proveedor, cierre) se registran mediante «Registrar avance», guardando la fecha real del hecho y la fecha de registro en una bitácora auditable; la edición del evento queda reservada para corregir errores. El sistema advierte cuando una fecha queda fuera del orden cronológico del flujo.</w:t>
      </w:r>
    </w:p>
    <w:p>
      <w:pPr>
        <w:pStyle w:val="Heading2"/>
      </w:pPr>
      <w:r>
        <w:t xml:space="preserve">Paso 11. Descarga de registros y respaldo</w:t>
      </w:r>
    </w:p>
    <w:p>
      <w:pPr>
        <w:pStyle w:val="ListParagraph"/>
        <w:numPr>
          <w:ilvl w:val="0"/>
          <w:numId w:val="2"/>
        </w:numPr>
        <w:spacing w:after="60"/>
      </w:pPr>
      <w:r>
        <w:rPr>
          <w:b/>
          <w:bCs/>
        </w:rPr>
        <w:t xml:space="preserve">Descargar todos los registros: </w:t>
      </w:r>
      <w:r>
        <w:t xml:space="preserve">opción para exportar la totalidad de los registros (equipos, mantenciones y pendientes) a un archivo Excel, conservando la Serie y el N° Inventario como texto con sus ceros a la izquierda.</w:t>
      </w:r>
    </w:p>
    <w:p>
      <w:pPr>
        <w:pStyle w:val="ListParagraph"/>
        <w:numPr>
          <w:ilvl w:val="0"/>
          <w:numId w:val="2"/>
        </w:numPr>
        <w:spacing w:after="60"/>
      </w:pPr>
      <w:r>
        <w:rPr>
          <w:b/>
          <w:bCs/>
        </w:rPr>
        <w:t xml:space="preserve">Backup: </w:t>
      </w:r>
      <w:r>
        <w:t xml:space="preserve">opción para generar un respaldo completo de los datos de la aplicación, que permita restaurar la información en caso de pérdida o reinstalación.</w:t>
      </w:r>
    </w:p>
    <w:p>
      <w:pPr>
        <w:pStyle w:val="Heading2"/>
      </w:pPr>
      <w:r>
        <w:t xml:space="preserve">Paso 12. Tablero de Operatividad y registro en un clic</w:t>
      </w:r>
    </w:p>
    <w:p>
      <w:pPr>
        <w:pStyle w:val="ListParagraph"/>
        <w:numPr>
          <w:ilvl w:val="0"/>
          <w:numId w:val="2"/>
        </w:numPr>
        <w:spacing w:after="60"/>
      </w:pPr>
      <w:r>
        <w:t xml:space="preserve">El foco del sistema es conocer en todo momento el estado de cada equipo para asegurar su operatividad y hacer las gestiones asociadas: el último estado vale más que el detalle. Un único motor de estado integral deriva, para cada equipo, su estado operativo, su criticidad y la «siguiente acción» recomendada, priorizando lo que más afecta la operatividad: equipo detenido (No Operativo o en Servicio Técnico) con OT abierta → avanzar el expediente; caído sin OT → abrir correctivo; pendientes vencidos o protocolos sin resolver; MP del mes o de meses anteriores sin ejecutar; y FS/NU en la planilla sin resolución posterior. De ese motor se alimentan, de forma consistente, la tabla de Equipos, la ficha del equipo (con un banner de siguiente acción e indicadores) y el Tablero de Operatividad.</w:t>
      </w:r>
    </w:p>
    <w:p>
      <w:pPr>
        <w:pStyle w:val="ListParagraph"/>
        <w:numPr>
          <w:ilvl w:val="0"/>
          <w:numId w:val="2"/>
        </w:numPr>
        <w:spacing w:after="60"/>
      </w:pPr>
      <w:r>
        <w:rPr>
          <w:b/>
          <w:bCs/>
        </w:rPr>
        <w:t xml:space="preserve">Tablero de Operatividad: </w:t>
      </w:r>
      <w:r>
        <w:t xml:space="preserve">lista permanente de los equipos que requieren atención — no operativos, en servicio técnico (según el último evento, visita o cierre), con expediente correctivo abierto, con pendientes vencidos o protocolos sin resolver, o marcados FS/NU en la planilla sin resolución posterior — mostrando el último estado, la última gestión con su fecha, los días transcurridos y la siguiente acción de cada equipo, ordenados por criticidad.</w:t>
      </w:r>
    </w:p>
    <w:p>
      <w:pPr>
        <w:pStyle w:val="ListParagraph"/>
        <w:numPr>
          <w:ilvl w:val="0"/>
          <w:numId w:val="2"/>
        </w:numPr>
        <w:spacing w:after="60"/>
      </w:pPr>
      <w:r>
        <w:t xml:space="preserve">Registro en un clic: cada expediente abierto ofrece el siguiente paso del flujo como botón directo con la fecha del día; los datos de detalle (números, responsables, descripciones) son opcionales y pueden completarse después. La visita y el cierre solo preguntan cómo quedó el equipo.</w:t>
      </w:r>
    </w:p>
    <w:p>
      <w:pPr>
        <w:pStyle w:val="ListParagraph"/>
        <w:numPr>
          <w:ilvl w:val="0"/>
          <w:numId w:val="2"/>
        </w:numPr>
        <w:spacing w:after="60"/>
      </w:pPr>
      <w:r>
        <w:t xml:space="preserve">Avance «Visita / Ejecución realizada»: registra la visita del proveedor sin exigir el Reporte de Servicio completo, el cual queda disponible como respaldo documental opcional.</w:t>
      </w:r>
    </w:p>
    <w:p>
      <w:pPr>
        <w:pStyle w:val="ListParagraph"/>
        <w:numPr>
          <w:ilvl w:val="0"/>
          <w:numId w:val="2"/>
        </w:numPr>
        <w:spacing w:after="60"/>
      </w:pPr>
      <w:r>
        <w:t xml:space="preserve">Corrección de avances: los avances de la bitácora pueden corregirse o eliminarse para enmendar errores; la corrección conserva la fecha de registro original y añade la fecha de corrección, y el expediente se recalcula. La línea de tiempo ordena los hitos por su fecha real, la etapa del expediente corresponde al último hito registrado, y los días de detención se cuentan desde la racha vigente de equipo no operativo (un equipo liberado que vuelve a fallar reinicia el conteo).</w:t>
      </w:r>
    </w:p>
    <w:p>
      <w:pPr>
        <w:pStyle w:val="Heading2"/>
      </w:pPr>
      <w:r>
        <w:t xml:space="preserve">Paso 13. Vista Plan de Mantenimiento</w:t>
      </w:r>
    </w:p>
    <w:p>
      <w:pPr>
        <w:pStyle w:val="ListParagraph"/>
        <w:numPr>
          <w:ilvl w:val="0"/>
          <w:numId w:val="2"/>
        </w:numPr>
        <w:spacing w:after="60"/>
      </w:pPr>
      <w:r>
        <w:t xml:space="preserve">Vista con una fila por evento de mantención (equipo y mes), uniendo la programación PMP, el registro de la planilla y las mantenciones registradas en la aplicación.</w:t>
      </w:r>
    </w:p>
    <w:p>
      <w:pPr>
        <w:pStyle w:val="ListParagraph"/>
        <w:numPr>
          <w:ilvl w:val="0"/>
          <w:numId w:val="2"/>
        </w:numPr>
        <w:spacing w:after="60"/>
      </w:pPr>
      <w:r>
        <w:t xml:space="preserve">Columnas: ID, N° Carpeta, N° Inventario, Equipo, Servicio, Unidad, Ubicación, Procedencia, Marca, Modelo, Serie (datos del equipo), Mes, Programa, Resultado, Fecha de ejecución (app), Registro (Oficial / Borrador) y Origen (Planilla / App / Planilla + App). Un selector permite elegir qué columnas mostrar, con un conjunto compacto por defecto.</w:t>
      </w:r>
    </w:p>
    <w:p>
      <w:pPr>
        <w:pStyle w:val="ListParagraph"/>
        <w:numPr>
          <w:ilvl w:val="0"/>
          <w:numId w:val="2"/>
        </w:numPr>
        <w:spacing w:after="60"/>
      </w:pPr>
      <w:r>
        <w:t xml:space="preserve">Todas las columnas cuentan con filtros tipo Excel (selección múltiple, búsqueda y orden), búsqueda global, paginación y exportación de la vista filtrada a Excel; cada fila abre la ficha del equipo.</w:t>
      </w:r>
    </w:p>
    <w:p>
      <w:pPr>
        <w:pStyle w:val="ListParagraph"/>
        <w:numPr>
          <w:ilvl w:val="0"/>
          <w:numId w:val="2"/>
        </w:numPr>
        <w:spacing w:after="60"/>
      </w:pPr>
      <w:r>
        <w:t xml:space="preserve">Todas las columnas cuentan con filtros tipo Excel: las de identificación, el registro, la última actualización y también cada subcolumna de Programa y de Resultado de cada mes (por ejemplo, filtrar los equipos con Programa R en mayo o con Resultado Si en abril), combinables entre sí, además de la búsqueda global; la carta se exporta a Excel con una subcolumna de programa y otra de resultado por mes.</w:t>
      </w:r>
    </w:p>
    <w:p>
      <w:pPr>
        <w:pStyle w:val="Heading2"/>
      </w:pPr>
      <w:r>
        <w:t xml:space="preserve">Paso 14. Grabación de sesión (mejora continua)</w:t>
      </w:r>
    </w:p>
    <w:p>
      <w:pPr>
        <w:pStyle w:val="ListParagraph"/>
        <w:numPr>
          <w:ilvl w:val="0"/>
          <w:numId w:val="2"/>
        </w:numPr>
        <w:spacing w:after="60"/>
      </w:pPr>
      <w:r>
        <w:t xml:space="preserve">El botón «Grabar» de la barra superior registra localmente la interacción con la aplicación (clics, escritura, navegación entre vistas, apertura de formularios, filtros y tiempos) sin enviar nada fuera del computador.</w:t>
      </w:r>
    </w:p>
    <w:p>
      <w:pPr>
        <w:pStyle w:val="ListParagraph"/>
        <w:numPr>
          <w:ilvl w:val="0"/>
          <w:numId w:val="2"/>
        </w:numPr>
        <w:spacing w:after="60"/>
      </w:pPr>
      <w:r>
        <w:t xml:space="preserve">Al detener la grabación se descarga un archivo que permite analizar el uso real y proponer mejoras de usabilidad: registra además el desplazamiento, las validaciones con las que el usuario tropieza, la duración y el resultado de cada formulario (guardado o cancelado), los clics repetidos sobre un mismo elemento, el tiempo activo frente al tiempo fuera de foco y el tiempo dedicado a cada vista. Si la pestaña se cierra con una grabación activa, el navegador pide confirmación.</w:t>
      </w:r>
    </w:p>
    <w:p>
      <w:pPr>
        <w:pStyle w:val="Heading2"/>
      </w:pPr>
      <w:r>
        <w:t xml:space="preserve">Paso 15. Vista global de Mantenimiento Correctivo</w:t>
      </w:r>
    </w:p>
    <w:p>
      <w:pPr>
        <w:pStyle w:val="ListParagraph"/>
        <w:numPr>
          <w:ilvl w:val="0"/>
          <w:numId w:val="2"/>
        </w:numPr>
        <w:spacing w:after="60"/>
      </w:pPr>
      <w:r>
        <w:t xml:space="preserve">Vista tipo tabla con una fila por expediente (folio SIGEM), uniendo la orden de trabajo con sus avances.</w:t>
      </w:r>
    </w:p>
    <w:p>
      <w:pPr>
        <w:pStyle w:val="ListParagraph"/>
        <w:numPr>
          <w:ilvl w:val="0"/>
          <w:numId w:val="2"/>
        </w:numPr>
        <w:spacing w:after="60"/>
      </w:pPr>
      <w:r>
        <w:t xml:space="preserve">Columnas: ID (correlativo del expediente), Equipo, Tipo, Folio SIGEM, Fecha del documento, Técnico, Empresa (la del último envío o compra), Estado (etapa actual del expediente o Cerrado) y Días de ciclo (desde la apertura hasta el cierre o, si está abierto, hasta hoy).</w:t>
      </w:r>
    </w:p>
    <w:p>
      <w:pPr>
        <w:pStyle w:val="ListParagraph"/>
        <w:numPr>
          <w:ilvl w:val="0"/>
          <w:numId w:val="2"/>
        </w:numPr>
        <w:spacing w:after="60"/>
      </w:pPr>
      <w:r>
        <w:t xml:space="preserve">Todas las columnas cuentan con filtros tipo Excel (selección múltiple, búsqueda y orden); la búsqueda global cubre además la serie y el N° de inventario del equipo. Orden por defecto con los expedientes abiertos primero y mayor ciclo arriba; métricas de cabecera (expedientes, abiertos, con equipo detenido, cerrados y ciclo medio); exportación de la vista filtrada y cada fila abre la ficha del equipo.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2026-06-12T13:45:36.683Z</dcterms:created>
  <dcterms:modified xsi:type="dcterms:W3CDTF">2026-06-12T13:45:36.684Z</dcterms:modified>
</cp:coreProperties>
</file>

<file path=docProps/custom.xml><?xml version="1.0" encoding="utf-8"?>
<Properties xmlns="http://schemas.openxmlformats.org/officeDocument/2006/custom-properties" xmlns:vt="http://schemas.openxmlformats.org/officeDocument/2006/docPropsVTypes"/>
</file>