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cinco columnas calculadas derivadas del motor de estado integral (Paso 12): Estado del equipo (Operativo / No Operativo / Servicio Técnico, con color, según el último evento registrado), Días en estado, Siguiente acción (la tarea recomendada para asegurar la operatividad del equipo), Última actualización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ListParagraph"/>
        <w:numPr>
          <w:ilvl w:val="0"/>
          <w:numId w:val="2"/>
        </w:numPr>
        <w:spacing w:after="60"/>
      </w:pPr>
      <w:r>
        <w:rPr>
          <w:b/>
          <w:bCs/>
        </w:rPr>
        <w:t xml:space="preserve">Reporte de reprogramación: </w:t>
      </w:r>
      <w:r>
        <w:t xml:space="preserve">el pendiente de reprogramación trae como checklist el ciclo de su reporte — Generar el reporte de reprogramación → Imprimirlo → Firma del supervisor del servicio clínico → Firma del jefe de equipos médicos. La vista de Pendientes incluye una columna «Reporte reprog.» filtrable con la etapa (Por generar / Por imprimir / Faltan firmas / Firmado) y chips de acceso rápido para encontrar al instante los reportes que faltan generar o firmar.</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Tipo de mantenimiento: </w:t>
      </w:r>
      <w:r>
        <w:t xml:space="preserve">dos botones — Interno / Externo. Define el protocolo de tareas que se generará en el pendiente al marcar gestión pendiente.</w:t>
      </w:r>
    </w:p>
    <w:p>
      <w:pPr>
        <w:pStyle w:val="ListParagraph"/>
        <w:numPr>
          <w:ilvl w:val="0"/>
          <w:numId w:val="2"/>
        </w:numPr>
        <w:spacing w:after="60"/>
      </w:pPr>
      <w:r>
        <w:rPr>
          <w:b/>
          <w:bCs/>
        </w:rPr>
        <w:t xml:space="preserve">Gestión pendiente: </w:t>
      </w:r>
      <w:r>
        <w:t xml:space="preserve">casilla de selección Sí / No. Al marcarla, el sistema genera automáticamente un pendiente vinculado a esta mantención con una lista de protocolo predeterminada según el tipo de mantenimiento: Interno genera «Protocolo de mantenimiento Interno»; Externo genera «Protocolo de mantenimiento Interno» y «Protocolo de mantenimiento Externo». La fecha de compromiso es a 30 días si el resultado es una causal de reprogramación; el pendiente queda en la bandeja aunque no se complete el formulario que se abre para enriquecerlo, y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 Al elegir «Protocolo Interno de Mantenimiento» o «Protocolo Externo de Mantenimiento» (o al abrir un pendiente que ya tenga ese tipo) se arma automáticamente la lista de tareas de protocolo correspondiente.</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 Las tareas de protocolo se marcan con uno de cuatro estados — Sí / No / Imprimir / Gestión — y admiten comentarios y actualizaciones propios con fecha. Al marcar «Gestión» se habilita una lista de subtareas (con casilla, agregar y quitar) para desglosar la gestión a realizar; el protocolo en Gestión se da por resuelto cuando todas sus subtareas están listas. El contador «resueltas / total» considera resueltas las de respuesta definitiva (Sí o No) y las de Gestión con todas sus subtareas hechas. El texto escrito en «Nueva tarea» o «Nueva gestión» que no se haya agregado se incorpora al guardar para no perderlo.</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 Un único motor de estado integral deriva, para cada equipo, su estado operativo, su criticidad y la «siguiente acción» recomendada, priorizando lo que más afecta la operatividad: equipo detenido (No Operativo o en Servicio Técnico) con OT abierta → avanzar el expediente; caído sin OT → abrir correctivo; pendientes vencidos o protocolos sin resolver; MP del mes o de meses anteriores sin ejecutar; y FS/NU en la planilla sin resolución posterior. De ese motor se alimentan, de forma consistente, la tabla de Equipos, la ficha del equipo (con un banner de siguiente acción e indicadores) y el Tablero de Operatividad.</w:t>
      </w:r>
    </w:p>
    <w:p>
      <w:pPr>
        <w:pStyle w:val="ListParagraph"/>
        <w:numPr>
          <w:ilvl w:val="0"/>
          <w:numId w:val="2"/>
        </w:numPr>
        <w:spacing w:after="60"/>
      </w:pPr>
      <w:r>
        <w:rPr>
          <w:b/>
          <w:bCs/>
        </w:rPr>
        <w:t xml:space="preserve">Tablero de Operatividad: </w:t>
      </w:r>
      <w:r>
        <w:t xml:space="preserve">lista permanente de los equipos que requieren atención — no operativos, en servicio técnico (según el último evento, visita o cierre), con expediente correctivo abierto, con pendientes vencidos o protocolos sin resolver, o marcados FS/NU en la planilla sin resolución posterior — mostrando el último estado, la última gestión con su fecha, los días transcurridos y la siguiente acción de cada equipo,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registra además el desplazamiento, las validaciones con las que el usuario tropieza, la duración y el resultado de cada formulario (guardado o cancelado), los clics repetidos sobre un mismo elemento, el tiempo activo frente al tiempo fuera de foco y el tiempo dedicado a cada vista.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rPr>
          <w:b/>
          <w:bCs/>
        </w:rPr>
        <w:t xml:space="preserve">Columnas: </w:t>
      </w:r>
      <w:r>
        <w:t xml:space="preserve">ID (correlativo del expediente), Equipo, Tipo, Folio SIGEM, N° de envío, Fecha del documento, Técnico, Empresa (la del último envío o compra), Estado (etapa actual o Cerrado) y Días ciclo.</w:t>
      </w:r>
    </w:p>
    <w:p>
      <w:pPr>
        <w:pStyle w:val="ListParagraph"/>
        <w:numPr>
          <w:ilvl w:val="0"/>
          <w:numId w:val="2"/>
        </w:numPr>
        <w:spacing w:after="60"/>
      </w:pPr>
      <w:r>
        <w:rPr>
          <w:b/>
          <w:bCs/>
        </w:rPr>
        <w:t xml:space="preserve">Búsqueda: </w:t>
      </w:r>
      <w:r>
        <w:t xml:space="preserve">todas las columnas cuentan con filtros tipo Excel (selección múltiple, búsqueda y orden); la búsqueda cubre además la serie, el N° de inventario y el N° de envío del expediente (también buscable desde la vista de equipos), de modo que escribir un número de envío encuentra su expediente y su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