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las mismas columnas del Paso 1, más cinco columnas calculadas derivadas del motor de estado integral (Paso 12): Estado del equipo (Operativo / No Operativo / Servicio Técnico, con color, según el último evento registrado), Días en estado, Siguiente acción (la tarea recomendada para asegurar la operatividad del equipo), Última actualización y Pendientes (si el equipo tiene pendientes abiertos y cuántos). Todas las columnas cuentan con filtros tipo Excel; un selector permite elegir cuáles mostrar, con un conjunto compacto por defecto que evita el desplazamiento horizontal.</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ListParagraph"/>
        <w:numPr>
          <w:ilvl w:val="0"/>
          <w:numId w:val="2"/>
        </w:numPr>
        <w:spacing w:after="60"/>
      </w:pPr>
      <w:r>
        <w:t xml:space="preserve">Al ingresar la fecha de una mantención preventiva, el formulario indica qué corresponde a ese mes según la planilla (X, R, RA, PM o sin programación, listando los meses programados del equipo) y sugiere automáticamente el código en el campo Programación; la elección manual del usuario prevalece.</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ListParagraph"/>
        <w:numPr>
          <w:ilvl w:val="0"/>
          <w:numId w:val="2"/>
        </w:numPr>
        <w:spacing w:after="60"/>
      </w:pPr>
      <w:r>
        <w:rPr>
          <w:b/>
          <w:bCs/>
        </w:rPr>
        <w:t xml:space="preserve">Reporte de reprogramación: </w:t>
      </w:r>
      <w:r>
        <w:t xml:space="preserve">el pendiente de reprogramación trae como checklist el ciclo de su reporte — Generar el reporte de reprogramación → Imprimirlo → Firma del supervisor del servicio clínico → Firma del jefe de equipos médicos. La vista de Pendientes incluye una columna «Reporte reprog.» filtrable con la etapa (Por generar / Por imprimir / Faltan firmas / Firmado) y chips de acceso rápido para encontrar al instante los reportes que faltan generar o firmar.</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 (cada campo se copia al portapapeles con un clic), su historial de mantenciones unificado (una fila por mes con la programación, el resultado de la planilla y los registros de la aplicación), sus pendientes y sus expedientes de mantenimiento correctivo con línea de tiempo.</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ListParagraph"/>
        <w:numPr>
          <w:ilvl w:val="0"/>
          <w:numId w:val="2"/>
        </w:numPr>
        <w:spacing w:after="60"/>
      </w:pPr>
      <w:r>
        <w:rPr>
          <w:b/>
          <w:bCs/>
        </w:rPr>
        <w:t xml:space="preserve">Volver: </w:t>
      </w:r>
      <w:r>
        <w:t xml:space="preserve">el botón «← Volver» de la ficha regresa a la vista desde la que se abrió (Equipos, Pendientes, Operatividad o Correctivos), no siempre a Equipos.</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Tipo de mantenimiento: </w:t>
      </w:r>
      <w:r>
        <w:t xml:space="preserve">dos botones — Interno / Externo. Define el protocolo de tareas que se generará en el pendiente al marcar gestión pendiente.</w:t>
      </w:r>
    </w:p>
    <w:p>
      <w:pPr>
        <w:pStyle w:val="ListParagraph"/>
        <w:numPr>
          <w:ilvl w:val="0"/>
          <w:numId w:val="2"/>
        </w:numPr>
        <w:spacing w:after="60"/>
      </w:pPr>
      <w:r>
        <w:rPr>
          <w:b/>
          <w:bCs/>
        </w:rPr>
        <w:t xml:space="preserve">Gestión pendiente: </w:t>
      </w:r>
      <w:r>
        <w:t xml:space="preserve">casilla de selección Sí / No. Al marcarla, el sistema genera automáticamente un pendiente vinculado a esta mantención con una lista de protocolo predeterminada según el tipo de mantenimiento: Interno genera «Protocolo de mantenimiento Interno»; Externo genera «Protocolo de mantenimiento Interno» y «Protocolo de mantenimiento Externo». La fecha de compromiso del pendiente es la del evento que lo origina (la fecha de la mantención o de la reprogramación); el pendiente queda en la bandeja aunque no se complete el formulario que se abre para enriquecerlo, y no se duplica si la mantención se vuelve a guardar.</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 Al elegir «Protocolo Interno de Mantenimiento» o «Protocolo Externo de Mantenimiento» (o al abrir un pendiente que ya tenga ese tipo) se arma automáticamente la lista de tareas de protocolo correspondiente.</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 Las tareas de protocolo se marcan con uno de cuatro estados — Sí / No / Imprimir / Gestión — y admiten comentarios y actualizaciones propios con fecha. Al marcar «Gestión» se habilita una lista de subtareas (con casilla, agregar y quitar) para desglosar la gestión a realizar; el protocolo en Gestión se da por resuelto cuando todas sus subtareas están listas. El contador «resueltas / total» considera resueltas las de respuesta definitiva (Sí o No) y las de Gestión con todas sus subtareas hechas. El texto escrito en «Nueva tarea» o «Nueva gestión» que no se haya agregado se incorpora al guardar para no perderlo.</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ListParagraph"/>
        <w:numPr>
          <w:ilvl w:val="0"/>
          <w:numId w:val="2"/>
        </w:numPr>
        <w:spacing w:after="60"/>
      </w:pPr>
      <w:r>
        <w:t xml:space="preserve">Bandeja de gestión de pendientes: la vista global presenta los pendientes en una tabla tipo Excel — una fila por pendiente con columnas Equipo, Serie, N° Inventario, Servicio, Tipo, Urgencia (Atrasado / Hoy / Esta semana / Próximo / En espera / Completado), Estado de gestión, Compromiso, Días de atraso, Tareas, Responsables, En espera de, Última gestión y Fecha de completado — todas con filtros tipo Excel; la búsqueda global cubre todas las columnas, incluido el N° de inventario y la serie. Orden por urgencia por defecto, filas coloreadas según situación y exportación de la vista filtrada; con métricas de cabecera (abiertos, atrasados, en espera, completados de la semana y tiempo medio de resolución).</w:t>
      </w:r>
    </w:p>
    <w:p>
      <w:pPr>
        <w:pStyle w:val="ListParagraph"/>
        <w:numPr>
          <w:ilvl w:val="0"/>
          <w:numId w:val="2"/>
        </w:numPr>
        <w:spacing w:after="60"/>
      </w:pPr>
      <w:r>
        <w:t xml:space="preserve">Acciones rápidas en cada fila, sin abrir el formulario: completar (registra la fecha de completado y gestión automática), posponer el compromiso (+1, +3 o +7 días, dejando constancia), marcar En espera de un tercero con motivo (y reanudar), marcar tareas y registrar gestiones en línea.</w:t>
      </w:r>
    </w:p>
    <w:p>
      <w:pPr>
        <w:pStyle w:val="ListParagraph"/>
        <w:numPr>
          <w:ilvl w:val="0"/>
          <w:numId w:val="2"/>
        </w:numPr>
        <w:spacing w:after="60"/>
      </w:pPr>
      <w:r>
        <w:t xml:space="preserve">El estado de gestión se deduce automáticamente: Nuevo (sin actividad), En gestión (con gestiones o tareas marcadas), En espera (marcado con motivo) y Completado (con fecha); el atraso es transversal a cualquier estado abierto.</w:t>
      </w:r>
    </w:p>
    <w:p>
      <w:pPr>
        <w:pStyle w:val="ListParagraph"/>
        <w:numPr>
          <w:ilvl w:val="0"/>
          <w:numId w:val="2"/>
        </w:numPr>
        <w:spacing w:after="60"/>
      </w:pPr>
      <w:r>
        <w:t xml:space="preserve">Trabajo en la propia tabla: cada fila se despliega con un clic mostrando las tareas marcables, la bitácora completa de gestión y una caja para registrar gestiones, sin abrir el formulario. Al marcar la última tarea, el sistema ofrece completar el pendiente; al completar con tareas abiertas, advierte cuántas faltan antes de confirmar. Al abrir la aplicación se avisa si existen pendientes atrasados.</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Orden de Trabajo y Reporte de Servicio.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se registra como avance del expediente de la Orden de Trabajo («Registrar avance»), solicitando la fecha de envío, la empresa de destino (lista desplegable) y el número de envío (ambos obligatorios), con descripción opcional; el equipo queda en estado Servicio Técnico desde el envío hasta su retorno (Visita / Ejecución) o cierre, y la etapa del expediente pasa a «En servicio técnico externo · esperando retorno». Los envíos registrados como eventos en versiones anteriores se conservan y se muestran dentro del expediente por su folio.</w:t>
      </w:r>
    </w:p>
    <w:p>
      <w:pPr>
        <w:pStyle w:val="ListParagraph"/>
        <w:numPr>
          <w:ilvl w:val="0"/>
          <w:numId w:val="2"/>
        </w:numPr>
        <w:spacing w:after="60"/>
      </w:pPr>
      <w:r>
        <w:t xml:space="preserve">Retorno de Servicio Técnico: avance del expediente que registra la vuelta del equipo, conectado automáticamente con el último envío registrado (empresa prellenada) y con el folio de la Orden de Trabajo del expediente; solicita la fecha de retorno, el folio de retorno (obligatorio), la empresa, quién lo envió (persona de la empresa, opcional) y cómo quedó el equipo (Operativo / No Operativo). Si retorna Operativo, la etapa pasa a «Retornado · por cerrar» y la racha de detención termina; si retorna No Operativo, la etapa pasa a «Retornado sin reparar · evaluar» y el expediente sigue crítico.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 Un único motor de estado integral deriva, para cada equipo, su estado operativo, su criticidad y la «siguiente acción» recomendada, priorizando lo que más afecta la operatividad: equipo detenido (No Operativo o en Servicio Técnico) con OT abierta → avanzar el expediente; caído sin OT → abrir correctivo; pendientes vencidos o protocolos sin resolver; MP del mes o de meses anteriores sin ejecutar; y FS/NU en la planilla sin resolución posterior. De ese motor se alimentan, de forma consistente, la tabla de Equipos, la ficha del equipo (con un banner de siguiente acción e indicadores) y el Tablero de Operatividad.</w:t>
      </w:r>
    </w:p>
    <w:p>
      <w:pPr>
        <w:pStyle w:val="ListParagraph"/>
        <w:numPr>
          <w:ilvl w:val="0"/>
          <w:numId w:val="2"/>
        </w:numPr>
        <w:spacing w:after="60"/>
      </w:pPr>
      <w:r>
        <w:rPr>
          <w:b/>
          <w:bCs/>
        </w:rPr>
        <w:t xml:space="preserve">Tablero de Operatividad: </w:t>
      </w:r>
      <w:r>
        <w:t xml:space="preserve">lista permanente de los equipos que requieren atención — no operativos, en servicio técnico (según el último evento, visita o cierre), con expediente correctivo abierto, con pendientes vencidos o protocolos sin resolver, o marcados FS/NU en la planilla sin resolución posterior — mostrando el último estado, la última gestión con su fecha, los días transcurridos y la siguiente acción de cada equipo,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p>
      <w:pPr>
        <w:pStyle w:val="Heading2"/>
      </w:pPr>
      <w:r>
        <w:t xml:space="preserve">Paso 13. Vista Plan de Mantenimiento</w:t>
      </w:r>
    </w:p>
    <w:p>
      <w:pPr>
        <w:pStyle w:val="ListParagraph"/>
        <w:numPr>
          <w:ilvl w:val="0"/>
          <w:numId w:val="2"/>
        </w:numPr>
        <w:spacing w:after="60"/>
      </w:pPr>
      <w:r>
        <w:t xml:space="preserve">Vista con una fila por evento de mantención (equipo y mes), uniendo la programación PMP, el registro de la planilla y las mantenciones registradas en la aplicación.</w:t>
      </w:r>
    </w:p>
    <w:p>
      <w:pPr>
        <w:pStyle w:val="ListParagraph"/>
        <w:numPr>
          <w:ilvl w:val="0"/>
          <w:numId w:val="2"/>
        </w:numPr>
        <w:spacing w:after="60"/>
      </w:pPr>
      <w:r>
        <w:t xml:space="preserve">Columnas: ID, N° Carpeta, N° Inventario, Equipo, Servicio, Unidad, Ubicación, Procedencia, Marca, Modelo, Serie (datos del equipo), Mes, Programa, Resultado, Fecha de ejecución (app), Registro (Oficial / Borrador) y Origen (Planilla / App / Planilla + App). Un selector permite elegir qué columnas mostrar, con un conjunto compacto por defecto.</w:t>
      </w:r>
    </w:p>
    <w:p>
      <w:pPr>
        <w:pStyle w:val="ListParagraph"/>
        <w:numPr>
          <w:ilvl w:val="0"/>
          <w:numId w:val="2"/>
        </w:numPr>
        <w:spacing w:after="60"/>
      </w:pPr>
      <w:r>
        <w:t xml:space="preserve">Todas las columnas cuentan con filtros tipo Excel (selección múltiple, búsqueda y orden), búsqueda global, paginación y exportación de la vista filtrada a Excel; cada fila abre la ficha del equipo.</w:t>
      </w:r>
    </w:p>
    <w:p>
      <w:pPr>
        <w:pStyle w:val="ListParagraph"/>
        <w:numPr>
          <w:ilvl w:val="0"/>
          <w:numId w:val="2"/>
        </w:numPr>
        <w:spacing w:after="60"/>
      </w:pPr>
      <w:r>
        <w:t xml:space="preserve">Todas las columnas cuentan con filtros tipo Excel: las de identificación, el registro, la última actualización y también cada subcolumna de Programa y de Resultado de cada mes (por ejemplo, filtrar los equipos con Programa R en mayo o con Resultado Si en abril), combinables entre sí, además de la búsqueda global; la carta se exporta a Excel con una subcolumna de programa y otra de resultado por mes.</w:t>
      </w:r>
    </w:p>
    <w:p>
      <w:pPr>
        <w:pStyle w:val="Heading2"/>
      </w:pPr>
      <w:r>
        <w:t xml:space="preserve">Paso 14. Grabación de sesión (mejora continua)</w:t>
      </w:r>
    </w:p>
    <w:p>
      <w:pPr>
        <w:pStyle w:val="ListParagraph"/>
        <w:numPr>
          <w:ilvl w:val="0"/>
          <w:numId w:val="2"/>
        </w:numPr>
        <w:spacing w:after="60"/>
      </w:pPr>
      <w:r>
        <w:t xml:space="preserve">El botón «Grabar» de la barra superior registra localmente la interacción con la aplicación (clics, escritura, navegación entre vistas, apertura de formularios, filtros y tiempos) sin enviar nada fuera del computador.</w:t>
      </w:r>
    </w:p>
    <w:p>
      <w:pPr>
        <w:pStyle w:val="ListParagraph"/>
        <w:numPr>
          <w:ilvl w:val="0"/>
          <w:numId w:val="2"/>
        </w:numPr>
        <w:spacing w:after="60"/>
      </w:pPr>
      <w:r>
        <w:t xml:space="preserve">Al detener la grabación se descarga un archivo que permite analizar el uso real y proponer mejoras de usabilidad: registra además el desplazamiento, las validaciones con las que el usuario tropieza, la duración y el resultado de cada formulario (guardado o cancelado), los clics repetidos sobre un mismo elemento, el tiempo activo frente al tiempo fuera de foco y el tiempo dedicado a cada vista. Si la pestaña se cierra con una grabación activa, el navegador pide confirmación.</w:t>
      </w:r>
    </w:p>
    <w:p>
      <w:pPr>
        <w:pStyle w:val="Heading2"/>
      </w:pPr>
      <w:r>
        <w:t xml:space="preserve">Paso 15. Vista global de Mantenimiento Correctivo</w:t>
      </w:r>
    </w:p>
    <w:p>
      <w:pPr>
        <w:pStyle w:val="ListParagraph"/>
        <w:numPr>
          <w:ilvl w:val="0"/>
          <w:numId w:val="2"/>
        </w:numPr>
        <w:spacing w:after="60"/>
      </w:pPr>
      <w:r>
        <w:t xml:space="preserve">Vista tipo tabla con una fila por expediente (folio SIGEM), uniendo la orden de trabajo con sus avances.</w:t>
      </w:r>
    </w:p>
    <w:p>
      <w:pPr>
        <w:pStyle w:val="ListParagraph"/>
        <w:numPr>
          <w:ilvl w:val="0"/>
          <w:numId w:val="2"/>
        </w:numPr>
        <w:spacing w:after="60"/>
      </w:pPr>
      <w:r>
        <w:rPr>
          <w:b/>
          <w:bCs/>
        </w:rPr>
        <w:t xml:space="preserve">Columnas: </w:t>
      </w:r>
      <w:r>
        <w:t xml:space="preserve">ID (correlativo del expediente), Equipo, Tipo, Folio SIGEM, N° de envío, Fecha del documento, Técnico, Empresa (la del último envío o compra), Estado (etapa actual o Cerrado) y Días ciclo.</w:t>
      </w:r>
    </w:p>
    <w:p>
      <w:pPr>
        <w:pStyle w:val="ListParagraph"/>
        <w:numPr>
          <w:ilvl w:val="0"/>
          <w:numId w:val="2"/>
        </w:numPr>
        <w:spacing w:after="60"/>
      </w:pPr>
      <w:r>
        <w:rPr>
          <w:b/>
          <w:bCs/>
        </w:rPr>
        <w:t xml:space="preserve">Búsqueda: </w:t>
      </w:r>
      <w:r>
        <w:t xml:space="preserve">todas las columnas cuentan con filtros tipo Excel (selección múltiple, búsqueda y orden); la búsqueda cubre además la serie, el N° de inventario y el N° de envío del expediente (también buscable desde la vista de equipos), de modo que escribir un número de envío encuentra su expediente y su equipo.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