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t xml:space="preserve">Gestión pendiente: casilla de selección Sí / No. Al marcarla, el sistema genera automáticamente un pendiente vinculado a esta mantención (con tipo derivado de la causal, fecha de compromiso a 30 días si es causal de reprogramación, y queda registrado en la bandeja aunque no se complete el formulario que se abre para enriquecerlo);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Todas las columnas cuentan con filtros tipo Excel: las de identificación, el registro, la última actualización y también cada subcolumna de Programa y de Resultado de cada mes (por ejemplo, filtrar los equipos con Programa R en mayo o con Resultado Si en abril), combinables entre sí, además de la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t xml:space="preserve">Columnas: ID (correlativo del expediente), Equipo, Tipo, Folio SIGEM, Fecha del documento, Técnico, Empresa (la del último envío o compra), Estado (etapa actual del expediente o Cerrado) y Días de ciclo (desde la apertura hasta el cierre o, si está abierto, hasta hoy).</w:t>
      </w:r>
    </w:p>
    <w:p>
      <w:pPr>
        <w:pStyle w:val="ListParagraph"/>
        <w:numPr>
          <w:ilvl w:val="0"/>
          <w:numId w:val="2"/>
        </w:numPr>
        <w:spacing w:after="60"/>
      </w:pPr>
      <w:r>
        <w:t xml:space="preserve">Todas las columnas cuentan con filtros tipo Excel (selección múltiple, búsqueda y orden); la búsqueda global cubre además la serie y el N° de inventario del equipo. Orden por defecto con los expedientes abiertos primero y mayor ciclo arriba; métricas de cabecera (expedientes, abiertos, con equipo detenido, cerrados y ciclo medio); exportación de la vista filtrada y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