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Flujo de Trabajo — Sistema de Gestión MP 2026</w:t>
      </w:r>
    </w:p>
    <w:p>
      <w:pPr>
        <w:pBdr>
          <w:bottom w:val="single" w:color="2E75B6" w:sz="6" w:space="4"/>
        </w:pBdr>
        <w:spacing w:after="240"/>
      </w:pPr>
      <w:r>
        <w:rPr>
          <w:i/>
          <w:iCs/>
        </w:rPr>
        <w:t xml:space="preserve">Especificación consolidada · Programa de Mantenciones Preventivas de Equipos</w:t>
      </w:r>
    </w:p>
    <w:p>
      <w:pPr>
        <w:pStyle w:val="Heading2"/>
      </w:pPr>
      <w:r>
        <w:t xml:space="preserve">Paso 1. Cargar la base de datos de equipos</w:t>
      </w:r>
    </w:p>
    <w:p>
      <w:pPr>
        <w:pStyle w:val="ListParagraph"/>
        <w:numPr>
          <w:ilvl w:val="0"/>
          <w:numId w:val="2"/>
        </w:numPr>
        <w:spacing w:after="60"/>
      </w:pPr>
      <w:r>
        <w:t xml:space="preserve">Fuente: archivo </w:t>
      </w:r>
      <w:r>
        <w:rPr>
          <w:b/>
          <w:bCs/>
        </w:rPr>
        <w:t xml:space="preserve">ProgramaciónMP2026</w:t>
      </w:r>
      <w:r>
        <w:t xml:space="preserve">, hoja </w:t>
      </w:r>
      <w:r>
        <w:rPr>
          <w:b/>
          <w:bCs/>
        </w:rPr>
        <w:t xml:space="preserve">PMP_2026</w:t>
      </w:r>
      <w:r>
        <w:t xml:space="preserve">. Encabezados en la fila 7; datos desde la fila 8.</w:t>
      </w:r>
    </w:p>
    <w:p>
      <w:pPr>
        <w:pStyle w:val="ListParagraph"/>
        <w:numPr>
          <w:ilvl w:val="0"/>
          <w:numId w:val="2"/>
        </w:numPr>
        <w:spacing w:after="60"/>
      </w:pPr>
      <w:r>
        <w:t xml:space="preserve">Campos (columnas B–P): ID, N° Carpeta, N° Inventario, Equipo, Servicio, Unidad, Ubicación, Procedencia, Marca, Modelo, Serie, Año Instalación, Vida Útil Residual, Clasificación y ENU / Baja.</w:t>
      </w:r>
    </w:p>
    <w:p>
      <w:pPr>
        <w:pStyle w:val="ListParagraph"/>
        <w:numPr>
          <w:ilvl w:val="0"/>
          <w:numId w:val="2"/>
        </w:numPr>
        <w:spacing w:after="60"/>
      </w:pPr>
      <w:r>
        <w:t xml:space="preserve">Se excluyen las columnas Q (Observación), R (Frecuencia MP) y S (Responsable MP).</w:t>
      </w:r>
    </w:p>
    <w:p>
      <w:pPr>
        <w:pStyle w:val="ListParagraph"/>
        <w:numPr>
          <w:ilvl w:val="0"/>
          <w:numId w:val="2"/>
        </w:numPr>
        <w:spacing w:after="60"/>
      </w:pPr>
      <w:r>
        <w:t xml:space="preserve">Incluir </w:t>
      </w:r>
      <w:r>
        <w:rPr>
          <w:b/>
          <w:bCs/>
        </w:rPr>
        <w:t xml:space="preserve">todos los registros sin excepción</w:t>
      </w:r>
      <w:r>
        <w:t xml:space="preserve">, incluso aquellos con valor 0 en sus campos; ninguna fila se descarta ni se filtra.</w:t>
      </w:r>
    </w:p>
    <w:p>
      <w:pPr>
        <w:pStyle w:val="ListParagraph"/>
        <w:numPr>
          <w:ilvl w:val="0"/>
          <w:numId w:val="2"/>
        </w:numPr>
        <w:spacing w:after="60"/>
      </w:pPr>
      <w:r>
        <w:rPr>
          <w:b/>
          <w:bCs/>
        </w:rPr>
        <w:t xml:space="preserve">Serie y N° Inventario se leen como texto</w:t>
      </w:r>
      <w:r>
        <w:t xml:space="preserve">, conservando los ceros a la izquierda (“00039” no se convierte en “39”). Aplica en la carga, en la vista de equipos y en cualquier exportación.</w:t>
      </w:r>
    </w:p>
    <w:p>
      <w:pPr>
        <w:pStyle w:val="ListParagraph"/>
        <w:numPr>
          <w:ilvl w:val="0"/>
          <w:numId w:val="2"/>
        </w:numPr>
        <w:spacing w:after="60"/>
      </w:pPr>
      <w:r>
        <w:t xml:space="preserve">El ID es solo el orden de fila; el identificador único de cada equipo es la Serie o el N° Inventario.</w:t>
      </w:r>
    </w:p>
    <w:p>
      <w:pPr>
        <w:pStyle w:val="Heading2"/>
      </w:pPr>
      <w:r>
        <w:t xml:space="preserve">Paso 2. Vista de equipos</w:t>
      </w:r>
    </w:p>
    <w:p>
      <w:pPr>
        <w:pStyle w:val="ListParagraph"/>
        <w:numPr>
          <w:ilvl w:val="0"/>
          <w:numId w:val="2"/>
        </w:numPr>
        <w:spacing w:after="60"/>
      </w:pPr>
      <w:r>
        <w:t xml:space="preserve">Al completar la carga, generar una vista tipo tabla con exactamente las mismas columnas del Paso 1.</w:t>
      </w:r>
    </w:p>
    <w:p>
      <w:pPr>
        <w:pStyle w:val="ListParagraph"/>
        <w:numPr>
          <w:ilvl w:val="0"/>
          <w:numId w:val="2"/>
        </w:numPr>
        <w:spacing w:after="60"/>
      </w:pPr>
      <w:r>
        <w:t xml:space="preserve">Cada columna debe contar con filtros tipo Excel: selección múltiple, búsqueda y orden por columna.</w:t>
      </w:r>
    </w:p>
    <w:p>
      <w:pPr>
        <w:pStyle w:val="ListParagraph"/>
        <w:numPr>
          <w:ilvl w:val="0"/>
          <w:numId w:val="2"/>
        </w:numPr>
        <w:spacing w:after="60"/>
      </w:pPr>
      <w:r>
        <w:t xml:space="preserve">Cada fila es presionable y abre la vista de detalle del equipo (Paso 7).</w:t>
      </w:r>
    </w:p>
    <w:p>
      <w:pPr>
        <w:pStyle w:val="Heading2"/>
      </w:pPr>
      <w:r>
        <w:t xml:space="preserve">Paso 3. Leer la programación (hoja PMP_2026)</w:t>
      </w:r>
    </w:p>
    <w:p>
      <w:pPr>
        <w:pStyle w:val="ListParagraph"/>
        <w:numPr>
          <w:ilvl w:val="0"/>
          <w:numId w:val="2"/>
        </w:numPr>
        <w:spacing w:after="60"/>
      </w:pPr>
      <w:r>
        <w:t xml:space="preserve">Datos desde la fila 8; meses en columnas </w:t>
      </w:r>
      <w:r>
        <w:rPr>
          <w:b/>
          <w:bCs/>
        </w:rPr>
        <w:t xml:space="preserve">T–AE</w:t>
      </w:r>
      <w:r>
        <w:t xml:space="preserve"> (Ene–Dic), un valor de programación por mes.</w:t>
      </w:r>
    </w:p>
    <w:p>
      <w:pPr>
        <w:pStyle w:val="ListParagraph"/>
        <w:numPr>
          <w:ilvl w:val="0"/>
          <w:numId w:val="2"/>
        </w:numPr>
        <w:spacing w:after="60"/>
      </w:pPr>
      <w:r>
        <w:t xml:space="preserve">Vincular cada fila con su equipo mediante la Serie o el N° Inventario.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de Año Anterior</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PM</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Puesta en Marcha</w:t>
            </w:r>
          </w:p>
        </w:tc>
      </w:tr>
    </w:tbl>
    <w:p>
      <w:pPr>
        <w:spacing w:after="120"/>
      </w:pPr>
      <w:r>
        <w:t xml:space="preserve"/>
      </w:r>
    </w:p>
    <w:p>
      <w:pPr>
        <w:pStyle w:val="Heading2"/>
      </w:pPr>
      <w:r>
        <w:t xml:space="preserve">Paso 4. Leer el registro (hoja Registro_MP-2026)</w:t>
      </w:r>
    </w:p>
    <w:p>
      <w:pPr>
        <w:pStyle w:val="ListParagraph"/>
        <w:numPr>
          <w:ilvl w:val="0"/>
          <w:numId w:val="2"/>
        </w:numPr>
        <w:spacing w:after="60"/>
      </w:pPr>
      <w:r>
        <w:t xml:space="preserve">Encabezados en las filas 6–7; datos desde la fila 8.</w:t>
      </w:r>
    </w:p>
    <w:p>
      <w:pPr>
        <w:pStyle w:val="ListParagraph"/>
        <w:numPr>
          <w:ilvl w:val="0"/>
          <w:numId w:val="2"/>
        </w:numPr>
        <w:spacing w:after="60"/>
      </w:pPr>
      <w:r>
        <w:t xml:space="preserve">Cada mes ocupa dos columnas: </w:t>
      </w:r>
      <w:r>
        <w:rPr>
          <w:b/>
          <w:bCs/>
        </w:rPr>
        <w:t xml:space="preserve">P (Programa)</w:t>
      </w:r>
      <w:r>
        <w:t xml:space="preserve"> con los valores X / R / RA / PM, y </w:t>
      </w:r>
      <w:r>
        <w:rPr>
          <w:b/>
          <w:bCs/>
        </w:rPr>
        <w:t xml:space="preserve">R (Resultado)</w:t>
      </w:r>
      <w:r>
        <w:t xml:space="preserve"> con los valores Si, C1–C8, Si-RA, FS, No, NU o Baja.</w:t>
      </w:r>
    </w:p>
    <w:p>
      <w:pPr>
        <w:pStyle w:val="ListParagraph"/>
        <w:numPr>
          <w:ilvl w:val="0"/>
          <w:numId w:val="2"/>
        </w:numPr>
        <w:spacing w:after="60"/>
      </w:pPr>
      <w:r>
        <w:t xml:space="preserve">La columna </w:t>
      </w:r>
      <w:r>
        <w:rPr>
          <w:b/>
          <w:bCs/>
        </w:rPr>
        <w:t xml:space="preserve">AR</w:t>
      </w:r>
      <w:r>
        <w:t xml:space="preserve"> corresponde a Observación.</w:t>
      </w:r>
    </w:p>
    <w:p>
      <w:pPr>
        <w:pStyle w:val="ListParagraph"/>
        <w:numPr>
          <w:ilvl w:val="0"/>
          <w:numId w:val="2"/>
        </w:numPr>
        <w:spacing w:after="60"/>
      </w:pPr>
      <w:r>
        <w:t xml:space="preserve">Ignorar los valores no válidos en P y R (ceros de relleno y números sueltos como “22” o “27”).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Mes</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P (Programa)</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R (Resultado)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Enero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T</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U</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Febrero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V</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W</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Marzo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Y</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Abril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Z</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AA</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Mayo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AC</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Junio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AD</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AE</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Julio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AF</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Agosto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AH</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AI</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Septiembre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AJ</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AK</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Octubre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AM</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Noviembre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AN</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Diciembre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AP</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AQ</w:t>
            </w:r>
          </w:p>
        </w:tc>
      </w:tr>
    </w:tbl>
    <w:p>
      <w:pPr>
        <w:spacing w:after="120"/>
      </w:pPr>
      <w:r>
        <w:t xml:space="preserve"/>
      </w:r>
    </w:p>
    <w:p>
      <w:pPr>
        <w:pStyle w:val="Heading2"/>
      </w:pPr>
      <w:r>
        <w:t xml:space="preserve">Regla de carga — Oficial / Borrador</w:t>
      </w:r>
    </w:p>
    <w:p>
      <w:pPr>
        <w:pStyle w:val="ListParagraph"/>
        <w:numPr>
          <w:ilvl w:val="0"/>
          <w:numId w:val="2"/>
        </w:numPr>
        <w:spacing w:after="60"/>
      </w:pPr>
      <w:r>
        <w:t xml:space="preserve">Todo registro de mantención leído desde la planilla se marca automáticamente como </w:t>
      </w:r>
      <w:r>
        <w:rPr>
          <w:b/>
          <w:bCs/>
        </w:rPr>
        <w:t xml:space="preserve">Oficial</w:t>
      </w:r>
      <w:r>
        <w:t xml:space="preserve">.</w:t>
      </w:r>
    </w:p>
    <w:p>
      <w:pPr>
        <w:pStyle w:val="ListParagraph"/>
        <w:numPr>
          <w:ilvl w:val="0"/>
          <w:numId w:val="2"/>
        </w:numPr>
        <w:spacing w:after="60"/>
      </w:pPr>
      <w:r>
        <w:t xml:space="preserve">Si en la aplicación existe un registro guardado como </w:t>
      </w:r>
      <w:r>
        <w:rPr>
          <w:b/>
          <w:bCs/>
        </w:rPr>
        <w:t xml:space="preserve">Borrador</w:t>
      </w:r>
      <w:r>
        <w:t xml:space="preserve"> y, al volver a cargar la planilla, esa mantención aparece en ella, el registro se actualiza a </w:t>
      </w:r>
      <w:r>
        <w:rPr>
          <w:b/>
          <w:bCs/>
        </w:rPr>
        <w:t xml:space="preserve">Oficial</w:t>
      </w:r>
      <w:r>
        <w:t xml:space="preserve">.</w:t>
      </w:r>
    </w:p>
    <w:p>
      <w:pPr>
        <w:pStyle w:val="ListParagraph"/>
        <w:numPr>
          <w:ilvl w:val="0"/>
          <w:numId w:val="2"/>
        </w:numPr>
        <w:spacing w:after="60"/>
      </w:pPr>
      <w:r>
        <w:t xml:space="preserve">Si no aparece en la planilla recargada, conserva su estado de Borrador.</w:t>
      </w:r>
    </w:p>
    <w:p>
      <w:pPr>
        <w:pStyle w:val="ListParagraph"/>
        <w:numPr>
          <w:ilvl w:val="0"/>
          <w:numId w:val="2"/>
        </w:numPr>
        <w:spacing w:after="60"/>
      </w:pPr>
      <w:r>
        <w:t xml:space="preserve">Las mantenciones registradas en la aplicación se contabilizan en el mes de su fecha, junto a los resultados de la planilla; si la planilla trae resultado para el mismo equipo y mes, prevalece la planilla y no se duplica el conteo.</w:t>
      </w:r>
    </w:p>
    <w:p>
      <w:pPr>
        <w:pStyle w:val="ListParagraph"/>
        <w:numPr>
          <w:ilvl w:val="0"/>
          <w:numId w:val="2"/>
        </w:numPr>
        <w:spacing w:after="60"/>
      </w:pPr>
      <w:r>
        <w:t xml:space="preserve">Al ingresar la fecha de una mantención preventiva, el formulario indica qué corresponde a ese mes según la planilla (X, R, RA, PM o sin programación, listando los meses programados del equipo) y sugiere automáticamente el código en el campo Programación; la elección manual del usuario prevalece.</w:t>
      </w:r>
    </w:p>
    <w:p>
      <w:pPr>
        <w:pStyle w:val="Heading2"/>
      </w:pPr>
      <w:r>
        <w:t xml:space="preserve">Paso 5. Interpretar el resultado de cada mantención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 – 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(ver causales en el Paso 6)</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de Año Anterior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FS</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Fuera de Servicio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NU</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Ubicable</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Baja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Dado de Baja</w:t>
            </w:r>
          </w:p>
        </w:tc>
      </w:tr>
    </w:tbl>
    <w:p>
      <w:pPr>
        <w:spacing w:after="120"/>
      </w:pPr>
      <w:r>
        <w:t xml:space="preserve"/>
      </w:r>
    </w:p>
    <w:p>
      <w:pPr>
        <w:pStyle w:val="Heading2"/>
      </w:pPr>
      <w:r>
        <w:t xml:space="preserve">Paso 6. Reglas de reprogramación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Descripción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Imposibilidad de desocupar el equipo del paciente por indicación clínica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C2</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servicio técnico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C3</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no operativo, a la espera de repuestos o accesorios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C4</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préstamo a otro hospital o institución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C5</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funcionario SEC por alta carga laboral</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C6</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servicio técnico externo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C7</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Ausencia justificada del funcionario SEC superior a 15 días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Contingencia hospitalaria</w:t>
            </w:r>
          </w:p>
        </w:tc>
      </w:tr>
    </w:tbl>
    <w:p>
      <w:pPr>
        <w:spacing w:after="120"/>
      </w:pPr>
      <w:r>
        <w:t xml:space="preserve"/>
      </w:r>
    </w:p>
    <w:p>
      <w:pPr>
        <w:pStyle w:val="ListParagraph"/>
        <w:numPr>
          <w:ilvl w:val="0"/>
          <w:numId w:val="2"/>
        </w:numPr>
        <w:spacing w:after="60"/>
      </w:pPr>
      <w:r>
        <w:rPr>
          <w:b/>
          <w:bCs/>
        </w:rPr>
        <w:t xml:space="preserve">C2, C3, C4: </w:t>
      </w:r>
      <w:r>
        <w:t xml:space="preserve">no se fija nueva fecha; la mantención se registra en el mes real de ejecución una vez que el equipo sea reintegrado.</w:t>
      </w:r>
    </w:p>
    <w:p>
      <w:pPr>
        <w:pStyle w:val="ListParagraph"/>
        <w:numPr>
          <w:ilvl w:val="0"/>
          <w:numId w:val="2"/>
        </w:numPr>
        <w:spacing w:after="60"/>
      </w:pPr>
      <w:r>
        <w:rPr>
          <w:b/>
          <w:bCs/>
        </w:rPr>
        <w:t xml:space="preserve">C1, C5, C6, C7, C8: </w:t>
      </w:r>
      <w:r>
        <w:t xml:space="preserve">debe reprogramarse dentro de los 30 días siguientes. El mes original conserva X en la columna P y la causal en la columna R; el mes de destino lleva R en la columna P.</w:t>
      </w:r>
    </w:p>
    <w:p>
      <w:pPr>
        <w:pStyle w:val="Heading2"/>
      </w:pPr>
      <w:r>
        <w:t xml:space="preserve">Paso 7. Vista de detalle del equipo</w:t>
      </w:r>
    </w:p>
    <w:p>
      <w:pPr>
        <w:pStyle w:val="ListParagraph"/>
        <w:numPr>
          <w:ilvl w:val="0"/>
          <w:numId w:val="2"/>
        </w:numPr>
        <w:spacing w:after="60"/>
      </w:pPr>
      <w:r>
        <w:t xml:space="preserve">Al presionar un equipo en la tabla, abrir una vista que muestre todos sus datos.</w:t>
      </w:r>
    </w:p>
    <w:p>
      <w:pPr>
        <w:pStyle w:val="ListParagraph"/>
        <w:numPr>
          <w:ilvl w:val="0"/>
          <w:numId w:val="2"/>
        </w:numPr>
        <w:spacing w:after="60"/>
      </w:pPr>
      <w:r>
        <w:t xml:space="preserve">La vista incluye tres botones: </w:t>
      </w:r>
      <w:r>
        <w:rPr>
          <w:b/>
          <w:bCs/>
        </w:rPr>
        <w:t xml:space="preserve">“Mantenimiento Preventivo”</w:t>
      </w:r>
      <w:r>
        <w:t xml:space="preserve">, </w:t>
      </w:r>
      <w:r>
        <w:rPr>
          <w:b/>
          <w:bCs/>
        </w:rPr>
        <w:t xml:space="preserve">“Pendientes”</w:t>
      </w:r>
      <w:r>
        <w:t xml:space="preserve"> y </w:t>
      </w:r>
      <w:r>
        <w:rPr>
          <w:b/>
          <w:bCs/>
        </w:rPr>
        <w:t xml:space="preserve">“Mantenimiento Correctivo”</w:t>
      </w:r>
      <w:r>
        <w:t xml:space="preserve">.</w:t>
      </w:r>
    </w:p>
    <w:p>
      <w:pPr>
        <w:pStyle w:val="Heading2"/>
      </w:pPr>
      <w:r>
        <w:t xml:space="preserve">Paso 8. Formulario de Mantenimiento Preventivo</w:t>
      </w:r>
    </w:p>
    <w:p>
      <w:pPr>
        <w:spacing w:after="120"/>
      </w:pPr>
      <w:r>
        <w:t xml:space="preserve">Al presionar el botón “Mantenimiento Preventivo”, desplegar un formulario con los siguientes campos:</w:t>
      </w:r>
    </w:p>
    <w:p>
      <w:pPr>
        <w:pStyle w:val="ListParagraph"/>
        <w:numPr>
          <w:ilvl w:val="0"/>
          <w:numId w:val="2"/>
        </w:numPr>
        <w:spacing w:after="60"/>
      </w:pPr>
      <w:r>
        <w:rPr>
          <w:b/>
          <w:bCs/>
        </w:rPr>
        <w:t xml:space="preserve">Fecha</w:t>
      </w:r>
      <w:r>
        <w:t xml:space="preserve"> de la mantención.</w:t>
      </w:r>
    </w:p>
    <w:p>
      <w:pPr>
        <w:pStyle w:val="ListParagraph"/>
        <w:numPr>
          <w:ilvl w:val="0"/>
          <w:numId w:val="2"/>
        </w:numPr>
        <w:spacing w:after="60"/>
      </w:pPr>
      <w:r>
        <w:rPr>
          <w:b/>
          <w:bCs/>
        </w:rPr>
        <w:t xml:space="preserve">Programación: </w:t>
      </w:r>
      <w:r>
        <w:t xml:space="preserve">lista desplegable con las opciones X, R, RA y PM.</w:t>
      </w:r>
    </w:p>
    <w:p>
      <w:pPr>
        <w:pStyle w:val="ListParagraph"/>
        <w:numPr>
          <w:ilvl w:val="0"/>
          <w:numId w:val="2"/>
        </w:numPr>
        <w:spacing w:after="60"/>
      </w:pPr>
      <w:r>
        <w:rPr>
          <w:b/>
          <w:bCs/>
        </w:rPr>
        <w:t xml:space="preserve">Ejecutor: </w:t>
      </w:r>
      <w:r>
        <w:t xml:space="preserve">lista desplegable con las siguientes opciones:</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Resultado: </w:t>
      </w:r>
      <w:r>
        <w:t xml:space="preserve">lista desplegable con: Si, C1, C2, C3, C4, C5, C6, C7, C8, Si-RA, FS, No, NU y Baja.</w:t>
      </w:r>
    </w:p>
    <w:p>
      <w:pPr>
        <w:pStyle w:val="ListParagraph"/>
        <w:numPr>
          <w:ilvl w:val="0"/>
          <w:numId w:val="2"/>
        </w:numPr>
        <w:spacing w:after="60"/>
      </w:pPr>
      <w:r>
        <w:rPr>
          <w:b/>
          <w:bCs/>
        </w:rPr>
        <w:t xml:space="preserve">Observaciones: </w:t>
      </w:r>
      <w:r>
        <w:t xml:space="preserve">campo de texto opcional.</w:t>
      </w:r>
    </w:p>
    <w:p>
      <w:pPr>
        <w:pStyle w:val="ListParagraph"/>
        <w:numPr>
          <w:ilvl w:val="0"/>
          <w:numId w:val="2"/>
        </w:numPr>
        <w:spacing w:after="60"/>
      </w:pPr>
      <w:r>
        <w:rPr>
          <w:b/>
          <w:bCs/>
        </w:rPr>
        <w:t xml:space="preserve">Estado del equipo: </w:t>
      </w:r>
      <w:r>
        <w:t xml:space="preserve">dos botones — Operativo / No Operativo.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Paso 9. Formulario de Pendientes</w:t>
      </w:r>
    </w:p>
    <w:p>
      <w:pPr>
        <w:spacing w:after="120"/>
      </w:pPr>
      <w:r>
        <w:t xml:space="preserve">Al presionar el botón “Pendientes”, desplegar un formulario con los siguientes campos:</w:t>
      </w:r>
    </w:p>
    <w:p>
      <w:pPr>
        <w:pStyle w:val="ListParagraph"/>
        <w:numPr>
          <w:ilvl w:val="0"/>
          <w:numId w:val="2"/>
        </w:numPr>
        <w:spacing w:after="60"/>
      </w:pPr>
      <w:r>
        <w:rPr>
          <w:b/>
          <w:bCs/>
        </w:rPr>
        <w:t xml:space="preserve">Fecha de compromiso: </w:t>
      </w:r>
      <w:r>
        <w:t xml:space="preserve">con opciones rápidas de Hoy, 3 días y 1 semana a partir de hoy.</w:t>
      </w:r>
    </w:p>
    <w:p>
      <w:pPr>
        <w:pStyle w:val="ListParagraph"/>
        <w:numPr>
          <w:ilvl w:val="0"/>
          <w:numId w:val="2"/>
        </w:numPr>
        <w:spacing w:after="60"/>
      </w:pPr>
      <w:r>
        <w:rPr>
          <w:b/>
          <w:bCs/>
        </w:rPr>
        <w:t xml:space="preserve">Tipo de pendiente: </w:t>
      </w:r>
      <w:r>
        <w:t xml:space="preserve">lista desplegable con: Reprogramación Mantención Preventiva, Protocolo Interno de Mantenimiento, Protocolo Externo de Mantenimiento, Pauta de Monitoreo Diario, Imprimir Documento y Otro.</w:t>
      </w:r>
    </w:p>
    <w:p>
      <w:pPr>
        <w:pStyle w:val="ListParagraph"/>
        <w:numPr>
          <w:ilvl w:val="0"/>
          <w:numId w:val="2"/>
        </w:numPr>
        <w:spacing w:after="60"/>
      </w:pPr>
      <w:r>
        <w:rPr>
          <w:b/>
          <w:bCs/>
        </w:rPr>
        <w:t xml:space="preserve">Descripción: </w:t>
      </w:r>
      <w:r>
        <w:t xml:space="preserve">campo de texto opcional.</w:t>
      </w:r>
    </w:p>
    <w:p>
      <w:pPr>
        <w:pStyle w:val="ListParagraph"/>
        <w:numPr>
          <w:ilvl w:val="0"/>
          <w:numId w:val="2"/>
        </w:numPr>
        <w:spacing w:after="60"/>
      </w:pPr>
      <w:r>
        <w:rPr>
          <w:b/>
          <w:bCs/>
        </w:rPr>
        <w:t xml:space="preserve">Tareas: </w:t>
      </w:r>
      <w:r>
        <w:t xml:space="preserve">listado de tareas asociadas al pendiente.</w:t>
      </w:r>
    </w:p>
    <w:p>
      <w:pPr>
        <w:pStyle w:val="ListParagraph"/>
        <w:numPr>
          <w:ilvl w:val="0"/>
          <w:numId w:val="2"/>
        </w:numPr>
        <w:spacing w:after="60"/>
      </w:pPr>
      <w:r>
        <w:rPr>
          <w:b/>
          <w:bCs/>
        </w:rPr>
        <w:t xml:space="preserve">Responsable Administrativo: </w:t>
      </w:r>
      <w:r>
        <w:t xml:space="preserve">lista desplegable con los mismos ejecutores del Paso 8, con Cristián Beltrán Oviedo por defecto.</w:t>
      </w:r>
    </w:p>
    <w:p>
      <w:pPr>
        <w:pStyle w:val="ListParagraph"/>
        <w:numPr>
          <w:ilvl w:val="0"/>
          <w:numId w:val="2"/>
        </w:numPr>
        <w:spacing w:after="60"/>
      </w:pPr>
      <w:r>
        <w:rPr>
          <w:b/>
          <w:bCs/>
        </w:rPr>
        <w:t xml:space="preserve">Responsable Ejecutivo: </w:t>
      </w:r>
      <w:r>
        <w:t xml:space="preserve">lista desplegable con los mismos ejecutores del Paso 8.</w:t>
      </w:r>
    </w:p>
    <w:p>
      <w:pPr>
        <w:pStyle w:val="ListParagraph"/>
        <w:numPr>
          <w:ilvl w:val="0"/>
          <w:numId w:val="2"/>
        </w:numPr>
        <w:spacing w:after="60"/>
      </w:pPr>
      <w:r>
        <w:rPr>
          <w:b/>
          <w:bCs/>
        </w:rPr>
        <w:t xml:space="preserve">Gestión asociada: </w:t>
      </w:r>
      <w:r>
        <w:t xml:space="preserve">recuadro para registrar las actualizaciones del pendiente.</w:t>
      </w:r>
    </w:p>
    <w:p>
      <w:pPr>
        <w:pStyle w:val="Heading2"/>
      </w:pPr>
      <w:r>
        <w:t xml:space="preserve">Paso 10. Formulario de Mantenimiento Correctivo</w:t>
      </w:r>
    </w:p>
    <w:p>
      <w:pPr>
        <w:spacing w:after="120"/>
      </w:pPr>
      <w:r>
        <w:t xml:space="preserve">Al presionar el botón “Mantenimiento Correctivo”, desplegar una lista desplegable de tipo de evento con las opciones </w:t>
      </w:r>
      <w:r>
        <w:rPr>
          <w:b/>
          <w:bCs/>
        </w:rPr>
        <w:t xml:space="preserve">Orden de Trabajo</w:t>
      </w:r>
      <w:r>
        <w:t xml:space="preserve">, </w:t>
      </w:r>
      <w:r>
        <w:rPr>
          <w:b/>
          <w:bCs/>
        </w:rPr>
        <w:t xml:space="preserve">Reporte de Servicio</w:t>
      </w:r>
      <w:r>
        <w:t xml:space="preserve"> y </w:t>
      </w:r>
      <w:r>
        <w:rPr>
          <w:b/>
          <w:bCs/>
        </w:rPr>
        <w:t xml:space="preserve">Envío a Servicio Técnico</w:t>
      </w:r>
      <w:r>
        <w:t xml:space="preserve">. Al seleccionar una opción, se solicita un formulario con los siguientes campos:</w:t>
      </w:r>
    </w:p>
    <w:p>
      <w:pPr>
        <w:pStyle w:val="ListParagraph"/>
        <w:numPr>
          <w:ilvl w:val="0"/>
          <w:numId w:val="2"/>
        </w:numPr>
        <w:spacing w:after="60"/>
      </w:pPr>
      <w:r>
        <w:rPr>
          <w:b/>
          <w:bCs/>
        </w:rPr>
        <w:t xml:space="preserve">Requerimiento: </w:t>
      </w:r>
      <w:r>
        <w:t xml:space="preserve">campo opcional.</w:t>
      </w:r>
    </w:p>
    <w:p>
      <w:pPr>
        <w:pStyle w:val="ListParagraph"/>
        <w:numPr>
          <w:ilvl w:val="0"/>
          <w:numId w:val="2"/>
        </w:numPr>
        <w:spacing w:after="60"/>
      </w:pPr>
      <w:r>
        <w:rPr>
          <w:b/>
          <w:bCs/>
        </w:rPr>
        <w:t xml:space="preserve">Fecha del documento.</w:t>
      </w:r>
    </w:p>
    <w:p>
      <w:pPr>
        <w:pStyle w:val="ListParagraph"/>
        <w:numPr>
          <w:ilvl w:val="0"/>
          <w:numId w:val="2"/>
        </w:numPr>
        <w:spacing w:after="60"/>
      </w:pPr>
      <w:r>
        <w:rPr>
          <w:b/>
          <w:bCs/>
        </w:rPr>
        <w:t xml:space="preserve">Folio de Solicitud de SIGEM.</w:t>
      </w:r>
    </w:p>
    <w:p>
      <w:pPr>
        <w:pStyle w:val="ListParagraph"/>
        <w:numPr>
          <w:ilvl w:val="0"/>
          <w:numId w:val="2"/>
        </w:numPr>
        <w:spacing w:after="60"/>
      </w:pPr>
      <w:r>
        <w:rPr>
          <w:b/>
          <w:bCs/>
        </w:rPr>
        <w:t xml:space="preserve">Técnico asignado: </w:t>
      </w:r>
      <w:r>
        <w:t xml:space="preserve">lista desplegable con los mismos nombres de la lista Ejecutor:</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Estado del equipo: </w:t>
      </w:r>
      <w:r>
        <w:t xml:space="preserve">lista desplegable con las opciones Operativo / No Operativo / Servicio Técnico.</w:t>
      </w:r>
    </w:p>
    <w:p>
      <w:pPr>
        <w:pStyle w:val="ListParagraph"/>
        <w:numPr>
          <w:ilvl w:val="0"/>
          <w:numId w:val="2"/>
        </w:numPr>
        <w:spacing w:after="60"/>
      </w:pPr>
      <w:r>
        <w:t xml:space="preserve">Tipo de compra: lista desplegable con las opciones Trato Directo y Compra Ágil.</w:t>
      </w:r>
    </w:p>
    <w:p>
      <w:pPr>
        <w:pStyle w:val="ListParagraph"/>
        <w:numPr>
          <w:ilvl w:val="0"/>
          <w:numId w:val="2"/>
        </w:numPr>
        <w:spacing w:after="60"/>
      </w:pPr>
      <w:r>
        <w:t xml:space="preserve">Si la compra es por Trato Directo, se solicita un formulario para registrar el número de informe técnico, la fecha del informe técnico, el responsable del informe técnico (lista desplegable con los mismos nombres de la lista Ejecutor) y una lista desplegable con empresas.</w:t>
      </w:r>
    </w:p>
    <w:p>
      <w:pPr>
        <w:pStyle w:val="ListParagraph"/>
        <w:numPr>
          <w:ilvl w:val="0"/>
          <w:numId w:val="2"/>
        </w:numPr>
        <w:spacing w:after="60"/>
      </w:pPr>
      <w:r>
        <w:t xml:space="preserve">Orden de compra: registro del número, la fecha y la descripción de la orden de compra asociada (Trato Directo o Compra Ágil).</w:t>
      </w:r>
    </w:p>
    <w:p>
      <w:pPr>
        <w:pStyle w:val="ListParagraph"/>
        <w:numPr>
          <w:ilvl w:val="0"/>
          <w:numId w:val="2"/>
        </w:numPr>
        <w:spacing w:after="60"/>
      </w:pPr>
      <w:r>
        <w:t xml:space="preserve">Estado del evento: Abierto / Cerrado; al cerrar el evento se registra la fecha de cierre.</w:t>
      </w:r>
    </w:p>
    <w:p>
      <w:pPr>
        <w:pStyle w:val="ListParagraph"/>
        <w:numPr>
          <w:ilvl w:val="0"/>
          <w:numId w:val="2"/>
        </w:numPr>
        <w:spacing w:after="60"/>
      </w:pPr>
      <w:r>
        <w:t xml:space="preserve">Envío a Servicio Técnico: para este tipo de evento el formulario solicita la fecha de envío, la empresa de destino (lista desplegable), el número de envío, la descripción, el folio de solicitud y el técnico responsable; empresa y número de envío son obligatorios y el estado del equipo queda por defecto en Servicio Técnico.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Flujo del Mantenimiento Correctivo — Ciclo de la Orden de Trabajo</w:t>
      </w:r>
    </w:p>
    <w:p>
      <w:pPr>
        <w:pStyle w:val="ListParagraph"/>
        <w:numPr>
          <w:ilvl w:val="0"/>
          <w:numId w:val="2"/>
        </w:numPr>
        <w:spacing w:after="60"/>
      </w:pPr>
      <w:r>
        <w:t xml:space="preserve">Etapa 1 — Apertura: se genera la OT (folio SIGEM, requerimiento, técnico asignado) y se registra el estado del equipo. Equipo Operativo con falla: flujo normal (se mide el ciclo administrativo). Equipo No Operativo: flujo crítico (se miden los días de detención y se crea de inmediato una gestión pendiente con las tareas del ciclo). El evento nace Abierto.</w:t>
      </w:r>
    </w:p>
    <w:p>
      <w:pPr>
        <w:pStyle w:val="ListParagraph"/>
        <w:numPr>
          <w:ilvl w:val="0"/>
          <w:numId w:val="2"/>
        </w:numPr>
        <w:spacing w:after="60"/>
      </w:pPr>
      <w:r>
        <w:t xml:space="preserve">Etapa 2 — Evaluación técnica: el técnico evalúa la falla y define el camino: reparación interna (pasa a Ejecución), compra de repuesto o servicio (pasa a Gestión de compra) o Envío a Servicio Técnico (evento propio; el equipo queda en estado Servicio Técnico).</w:t>
      </w:r>
    </w:p>
    <w:p>
      <w:pPr>
        <w:pStyle w:val="ListParagraph"/>
        <w:numPr>
          <w:ilvl w:val="0"/>
          <w:numId w:val="2"/>
        </w:numPr>
        <w:spacing w:after="60"/>
      </w:pPr>
      <w:r>
        <w:t xml:space="preserve">Etapa 3 — Gestión de compra, en este orden: 1) solicitar cotización al proveedor; 2) recibir la cotización (n° y fecha); 3) elaborar el informe técnico respaldado en la cotización (n°, fecha y responsable); 4) emitir la orden de compra (Trato Directo o Compra Ágil, con n°, fecha y descripción); 5) enviar la orden de compra al proveedor (desde aquí corre el plazo del proveedor). Cada paso se registra como tarea del pendiente y actualización de la gestión asociada.</w:t>
      </w:r>
    </w:p>
    <w:p>
      <w:pPr>
        <w:pStyle w:val="ListParagraph"/>
        <w:numPr>
          <w:ilvl w:val="0"/>
          <w:numId w:val="2"/>
        </w:numPr>
        <w:spacing w:after="60"/>
      </w:pPr>
      <w:r>
        <w:t xml:space="preserve">Etapa 4 — Espera y recepción: seguimiento del repuesto o de la visita del proveedor mediante la gestión asociada del pendiente.</w:t>
      </w:r>
    </w:p>
    <w:p>
      <w:pPr>
        <w:pStyle w:val="ListParagraph"/>
        <w:numPr>
          <w:ilvl w:val="0"/>
          <w:numId w:val="2"/>
        </w:numPr>
        <w:spacing w:after="60"/>
      </w:pPr>
      <w:r>
        <w:t xml:space="preserve">Etapa 5 — Ejecución: Reporte de Servicio con el mismo folio SIGEM (trabajo realizado, repuestos y pruebas de funcionamiento); se actualiza el estado del equipo, normalmente su retorno a Operativo.</w:t>
      </w:r>
    </w:p>
    <w:p>
      <w:pPr>
        <w:pStyle w:val="ListParagraph"/>
        <w:numPr>
          <w:ilvl w:val="0"/>
          <w:numId w:val="2"/>
        </w:numPr>
        <w:spacing w:after="60"/>
      </w:pPr>
      <w:r>
        <w:t xml:space="preserve">Etapa 6 — Cierre: el evento pasa a Cerrado con su fecha de cierre y se completa el pendiente. Métricas resultantes: ciclo total, días de detención (flujo crítico) y días por etapa.</w:t>
      </w:r>
    </w:p>
    <w:p>
      <w:pPr>
        <w:pStyle w:val="ListParagraph"/>
        <w:numPr>
          <w:ilvl w:val="0"/>
          <w:numId w:val="2"/>
        </w:numPr>
        <w:spacing w:after="60"/>
      </w:pPr>
      <w:r>
        <w:t xml:space="preserve">Reglas transversales: un folio SIGEM agrupa la OT con sus Reportes de Servicio y Envíos a Servicio Técnico (un expediente); una misma orden de compra puede cubrir varios equipos, cada uno con su propio evento y folio; la ficha del equipo refleja siempre el estado del último evento registrado (preventivo o correctivo).</w:t>
      </w:r>
    </w:p>
    <w:p>
      <w:pPr>
        <w:pStyle w:val="ListParagraph"/>
        <w:numPr>
          <w:ilvl w:val="0"/>
          <w:numId w:val="2"/>
        </w:numPr>
        <w:spacing w:after="60"/>
      </w:pPr>
      <w:r>
        <w:t xml:space="preserve">Actualización del expediente: los avances del flujo (cotización solicitada y recibida, informe técnico, OC emitida, OC enviada al proveedor, cierre) se registran mediante «Registrar avance», guardando la fecha real del hecho y la fecha de registro en una bitácora auditable; la edición del evento queda reservada para corregir errores. El sistema advierte cuando una fecha queda fuera del orden cronológico del flujo.</w:t>
      </w:r>
    </w:p>
    <w:p>
      <w:pPr>
        <w:pStyle w:val="Heading2"/>
      </w:pPr>
      <w:r>
        <w:t xml:space="preserve">Paso 11. Descarga de registros y respaldo</w:t>
      </w:r>
    </w:p>
    <w:p>
      <w:pPr>
        <w:pStyle w:val="ListParagraph"/>
        <w:numPr>
          <w:ilvl w:val="0"/>
          <w:numId w:val="2"/>
        </w:numPr>
        <w:spacing w:after="60"/>
      </w:pPr>
      <w:r>
        <w:rPr>
          <w:b/>
          <w:bCs/>
        </w:rPr>
        <w:t xml:space="preserve">Descargar todos los registros: </w:t>
      </w:r>
      <w:r>
        <w:t xml:space="preserve">opción para exportar la totalidad de los registros (equipos, mantenciones y pendientes) a un archivo Excel, conservando la Serie y el N° Inventario como texto con sus ceros a la izquierda.</w:t>
      </w:r>
    </w:p>
    <w:p>
      <w:pPr>
        <w:pStyle w:val="ListParagraph"/>
        <w:numPr>
          <w:ilvl w:val="0"/>
          <w:numId w:val="2"/>
        </w:numPr>
        <w:spacing w:after="60"/>
      </w:pPr>
      <w:r>
        <w:rPr>
          <w:b/>
          <w:bCs/>
        </w:rPr>
        <w:t xml:space="preserve">Backup: </w:t>
      </w:r>
      <w:r>
        <w:t xml:space="preserve">opción para generar un respaldo completo de los datos de la aplicación, que permita restaurar la información en caso de pérdida o reinstalación.</w:t>
      </w:r>
    </w:p>
    <w:p>
      <w:pPr>
        <w:pStyle w:val="Heading2"/>
      </w:pPr>
      <w:r>
        <w:t xml:space="preserve">Paso 12. Tablero de Operatividad y registro en un clic</w:t>
      </w:r>
    </w:p>
    <w:p>
      <w:pPr>
        <w:pStyle w:val="ListParagraph"/>
        <w:numPr>
          <w:ilvl w:val="0"/>
          <w:numId w:val="2"/>
        </w:numPr>
        <w:spacing w:after="60"/>
      </w:pPr>
      <w:r>
        <w:t xml:space="preserve">El foco del sistema es conocer en todo momento el estado de cada equipo para asegurar su operatividad y hacer las gestiones asociadas: el último estado vale más que el detalle.</w:t>
      </w:r>
    </w:p>
    <w:p>
      <w:pPr>
        <w:pStyle w:val="ListParagraph"/>
        <w:numPr>
          <w:ilvl w:val="0"/>
          <w:numId w:val="2"/>
        </w:numPr>
        <w:spacing w:after="60"/>
      </w:pPr>
      <w:r>
        <w:t xml:space="preserve">Tablero de Operatividad: lista permanente de los equipos que requieren atención — no operativos, en servicio técnico (según el último evento, visita o cierre), con expediente correctivo abierto, o marcados FS/NU en la planilla sin resolución posterior — mostrando el último estado, la última gestión con su fecha y los días transcurridos, ordenados por criticidad.</w:t>
      </w:r>
    </w:p>
    <w:p>
      <w:pPr>
        <w:pStyle w:val="ListParagraph"/>
        <w:numPr>
          <w:ilvl w:val="0"/>
          <w:numId w:val="2"/>
        </w:numPr>
        <w:spacing w:after="60"/>
      </w:pPr>
      <w:r>
        <w:t xml:space="preserve">Registro en un clic: cada expediente abierto ofrece el siguiente paso del flujo como botón directo con la fecha del día; los datos de detalle (números, responsables, descripciones) son opcionales y pueden completarse después. La visita y el cierre solo preguntan cómo quedó el equipo.</w:t>
      </w:r>
    </w:p>
    <w:p>
      <w:pPr>
        <w:pStyle w:val="ListParagraph"/>
        <w:numPr>
          <w:ilvl w:val="0"/>
          <w:numId w:val="2"/>
        </w:numPr>
        <w:spacing w:after="60"/>
      </w:pPr>
      <w:r>
        <w:t xml:space="preserve">Avance «Visita / Ejecución realizada»: registra la visita del proveedor sin exigir el Reporte de Servicio completo, el cual queda disponible como respaldo documental opcional.</w:t>
      </w:r>
    </w:p>
    <w:p>
      <w:pPr>
        <w:pStyle w:val="ListParagraph"/>
        <w:numPr>
          <w:ilvl w:val="0"/>
          <w:numId w:val="2"/>
        </w:numPr>
        <w:spacing w:after="60"/>
      </w:pPr>
      <w:r>
        <w:t xml:space="preserve">Corrección de avances: los avances de la bitácora pueden corregirse o eliminarse para enmendar errores; la corrección conserva la fecha de registro original y añade la fecha de corrección, y el expediente se recalcula. La línea de tiempo ordena los hitos por su fecha real, la etapa del expediente corresponde al último hito registrado, y los días de detención se cuentan desde la racha vigente de equipo no operativo (un equipo liberado que vuelve a fallar reinicia el conteo).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2026-06-12T13:45:36.683Z</dcterms:created>
  <dcterms:modified xsi:type="dcterms:W3CDTF">2026-06-12T13:45:36.684Z</dcterms:modified>
</cp:coreProperties>
</file>

<file path=docProps/custom.xml><?xml version="1.0" encoding="utf-8"?>
<Properties xmlns="http://schemas.openxmlformats.org/officeDocument/2006/custom-properties" xmlns:vt="http://schemas.openxmlformats.org/officeDocument/2006/docPropsVTypes"/>
</file>