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exactamente las mismas columnas del Paso 1.</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w:t>
      </w:r>
      <w:r>
        <w:rPr>
          <w:b/>
          <w:bCs/>
        </w:rPr>
        <w:t xml:space="preserve">Orden de Trabajo</w:t>
      </w:r>
      <w:r>
        <w:t xml:space="preserve">, </w:t>
      </w:r>
      <w:r>
        <w:rPr>
          <w:b/>
          <w:bCs/>
        </w:rPr>
        <w:t xml:space="preserve">Reporte de Servicio</w:t>
      </w:r>
      <w:r>
        <w:t xml:space="preserve"> y </w:t>
      </w:r>
      <w:r>
        <w:rPr>
          <w:b/>
          <w:bCs/>
        </w:rPr>
        <w:t xml:space="preserve">Envío a Servicio Técnico</w:t>
      </w:r>
      <w:r>
        <w:t xml:space="preserve">.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de la orden de compra asociada a la compra (Trato Directo o Compra Ágil).</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