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cuatro columnas calculadas: Estado del equipo (Operativo / No Operativo / Servicio Técnico, según el último evento registrado), Días en estado (días transcurridos desde que el equipo entró a su estado actual), Última actualización (fecha más reciente de cualquier registro de la app para el equipo) y Pendientes (si el equipo tiene pendientes abiertos y cuántos). Todas las columnas cuentan con filtros tipo Excel; un selector permite elegir cuáles mostrar, con un conjunto compacto por defecto que evita el desplazamiento horizontal.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ListParagraph"/>
        <w:numPr>
          <w:ilvl w:val="0"/>
          <w:numId w:val="2"/>
        </w:numPr>
        <w:spacing w:after="60"/>
      </w:pPr>
      <w:r>
        <w:t xml:space="preserve">Bandeja de gestión de pendientes: la vista global agrupa los pendientes por urgencia (Atrasados, Hoy, Esta semana, Próximos, En espera y Completados) con métricas de cabecera (abiertos, atrasados, en espera, completados de la semana y tiempo medio de resolución) y filtros por responsable ejecutivo y tipo.</w:t>
      </w:r>
    </w:p>
    <w:p>
      <w:pPr>
        <w:pStyle w:val="ListParagraph"/>
        <w:numPr>
          <w:ilvl w:val="0"/>
          <w:numId w:val="2"/>
        </w:numPr>
        <w:spacing w:after="60"/>
      </w:pPr>
      <w:r>
        <w:t xml:space="preserve">Acciones rápidas en cada tarjeta, sin abrir el formulario: completar (registra la fecha de completado y gestión automática), posponer el compromiso (+1, +3 o +7 días, dejando constancia), marcar En espera de un tercero con motivo (y reanudar), marcar tareas y registrar gestiones en línea.</w:t>
      </w:r>
    </w:p>
    <w:p>
      <w:pPr>
        <w:pStyle w:val="ListParagraph"/>
        <w:numPr>
          <w:ilvl w:val="0"/>
          <w:numId w:val="2"/>
        </w:numPr>
        <w:spacing w:after="60"/>
      </w:pPr>
      <w:r>
        <w:t xml:space="preserve">El estado de gestión se deduce automáticamente: Nuevo (sin actividad), En gestión (con gestiones o tareas marcadas), En espera (marcado con motivo) y Completado (con fecha); el atraso es transversal a cualquier estado abierto.</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Equipo, Serie, N° Inventario, Servicio, Mes, Programa, Resultado, Fecha de ejecución (app), Registro (Oficial / Borrador) y Origen (Planilla / App / Planilla + App).</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