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color w:val="333333"/>
          <w:sz w:val="48"/>
        </w:rPr>
        <w:t>Shail Bhatt</w:t>
      </w:r>
    </w:p>
    <w:p>
      <w:pPr>
        <w:spacing w:before="0" w:after="20" w:line="276" w:lineRule="auto"/>
        <w:jc w:val="center"/>
      </w:pPr>
      <w:r>
        <w:rPr>
          <w:color w:val="666666"/>
          <w:sz w:val="18"/>
        </w:rPr>
        <w:t>1525 Alamosa Dr, Plano, TX 75023 | (832) 622-4681 | shailbhatt@yahoo.com</w:t>
      </w:r>
    </w:p>
    <w:p>
      <w:pPr>
        <w:spacing w:before="0" w:after="120" w:line="276" w:lineRule="auto"/>
        <w:jc w:val="center"/>
      </w:pPr>
      <w:r>
        <w:rPr>
          <w:color w:val="666666"/>
          <w:sz w:val="18"/>
        </w:rPr>
        <w:t>LinkedIn: www.linkedin.com/in/shailbhatt</w:t>
      </w:r>
    </w:p>
    <w:p>
      <w:pPr>
        <w:spacing w:before="40" w:after="40" w:line="276" w:lineRule="auto"/>
        <w:pBdr>
          <w:bottom w:val="single" w:sz="12" w:space="1" w:color="C4A44D"/>
        </w:pBdr>
      </w:pPr>
    </w:p>
    <w:p>
      <w:pPr>
        <w:spacing w:before="240" w:after="40" w:line="276" w:lineRule="auto"/>
      </w:pPr>
      <w:r>
        <w:rPr>
          <w:b/>
          <w:color w:val="333333"/>
          <w:sz w:val="26"/>
        </w:rPr>
        <w:t>Professional Summary</w:t>
      </w:r>
    </w:p>
    <w:p>
      <w:pPr>
        <w:spacing w:before="40" w:after="40" w:line="276" w:lineRule="auto"/>
        <w:pBdr>
          <w:bottom w:val="single" w:sz="12" w:space="1" w:color="C4A44D"/>
        </w:pBdr>
      </w:pPr>
    </w:p>
    <w:p>
      <w:pPr>
        <w:spacing w:before="80" w:after="80" w:line="276" w:lineRule="auto"/>
      </w:pPr>
      <w:r>
        <w:rPr>
          <w:sz w:val="20"/>
        </w:rPr>
        <w:t>Technology executive who builds and scales AI-first platforms that transform how organizations detect, diagnose, and resolve problems at scale. 15+ years leading enterprise programs at Amazon and Verizon — from vision through execution — delivering $100M+ in measurable business impact across observability, customer journey analytics, GenAI platforms, and cloud infrastructure.</w:t>
      </w:r>
    </w:p>
    <w:p>
      <w:pPr>
        <w:spacing w:before="80" w:after="80" w:line="276" w:lineRule="auto"/>
      </w:pPr>
      <w:r>
        <w:rPr>
          <w:sz w:val="20"/>
        </w:rPr>
        <w:t>I bring together engineering, product, data science, and executive leadership around shared outcomes — turning ambiguous, cross-organizational challenges into clear roadmaps, operating models, and shipped results. Two US patents. IEEE Senior Member.</w:t>
      </w:r>
    </w:p>
    <w:p>
      <w:pPr>
        <w:spacing w:before="240" w:after="40" w:line="276" w:lineRule="auto"/>
      </w:pPr>
      <w:r>
        <w:rPr>
          <w:b/>
          <w:color w:val="333333"/>
          <w:sz w:val="26"/>
        </w:rPr>
        <w:t>Leadership Scope</w:t>
      </w:r>
    </w:p>
    <w:p>
      <w:pPr>
        <w:spacing w:before="40" w:after="40" w:line="276" w:lineRule="auto"/>
        <w:pBdr>
          <w:bottom w:val="single" w:sz="12" w:space="1" w:color="C4A44D"/>
        </w:pBdr>
      </w:pP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Organizational Influence: </w:t>
      </w:r>
      <w:r>
        <w:rPr>
          <w:sz w:val="20"/>
        </w:rPr>
        <w:t>5+ VP-level organizations across Device OS, Services, Product, and Data Science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Program Scale: </w:t>
      </w:r>
      <w:r>
        <w:rPr>
          <w:sz w:val="20"/>
        </w:rPr>
        <w:t>Multi-year, enterprise-wide transformation programs spanning 50+ teams and 3 major device product lines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Executive Engagement: </w:t>
      </w:r>
      <w:r>
        <w:rPr>
          <w:sz w:val="20"/>
        </w:rPr>
        <w:t>Regular strategy, investment, and roadmap presentations to VP/SVP leadership (including Product Day for SVP Panos Panay)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Team Building: </w:t>
      </w:r>
      <w:r>
        <w:rPr>
          <w:sz w:val="20"/>
        </w:rPr>
        <w:t>Built and mentored global cross-functional teams across engineering, PM, UX, and data science — operating as both TPM and SDM when needed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Investment Influence: </w:t>
      </w:r>
      <w:r>
        <w:rPr>
          <w:sz w:val="20"/>
        </w:rPr>
        <w:t>Shaped GenAI and Agentic AI investment priorities and multi-year roadmaps with VP leadership</w:t>
      </w:r>
    </w:p>
    <w:p>
      <w:pPr>
        <w:spacing w:before="240" w:after="40" w:line="276" w:lineRule="auto"/>
      </w:pPr>
      <w:r>
        <w:rPr>
          <w:b/>
          <w:color w:val="333333"/>
          <w:sz w:val="26"/>
        </w:rPr>
        <w:t>Work History</w:t>
      </w:r>
    </w:p>
    <w:p>
      <w:pPr>
        <w:spacing w:before="40" w:after="40" w:line="276" w:lineRule="auto"/>
        <w:pBdr>
          <w:bottom w:val="single" w:sz="12" w:space="1" w:color="C4A44D"/>
        </w:pBdr>
      </w:pPr>
    </w:p>
    <w:p>
      <w:pPr>
        <w:spacing w:before="160" w:after="20" w:line="276" w:lineRule="auto"/>
      </w:pPr>
      <w:r>
        <w:rPr>
          <w:b/>
          <w:sz w:val="22"/>
        </w:rPr>
        <w:t>Senior Technical Program Manager — Amazon</w:t>
      </w:r>
    </w:p>
    <w:p>
      <w:pPr>
        <w:spacing w:before="0" w:after="120" w:line="276" w:lineRule="auto"/>
      </w:pPr>
      <w:r>
        <w:rPr>
          <w:i/>
          <w:color w:val="666666"/>
          <w:sz w:val="20"/>
        </w:rPr>
        <w:t>Dallas, TX | 2021 – Present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Conceived and delivered a unified AI-driven troubleshooting platform </w:t>
      </w:r>
      <w:r>
        <w:rPr>
          <w:sz w:val="20"/>
        </w:rPr>
        <w:t>spanning detection, diagnosis, and remediation across FireTV, Tablets, and Alexa — reducing MTTR by 30%, improving first-attempt resolution by 55%, and achieving 500+ organic customers within 3 weeks of launch. Took over a greenfield DSLT goal mid-flight with no SDM, wore both TPM and SDM hats, and delivered 13 days ahead of deadline.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Authored a PRFAQ to solve an ambiguous, cross-domain diagnosis problem </w:t>
      </w:r>
      <w:r>
        <w:rPr>
          <w:sz w:val="20"/>
        </w:rPr>
        <w:t>— proposing an integrated system that automatically correlates telemetry across device logs, crashes, user interactions, cloud service logs, customer support data, and system traces into a unified diagnostic ledger. Drove the vision through 3 months of stakeholder interviews, PE reviews, and L8/L10 sign-off — then translated it into a production Diagnosis MCP (Model Context Protocol) tool that puts end-to-end automated root-cause analysis into action across multiple domains.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Owned enterprise-wide telemetry platform consolidation </w:t>
      </w:r>
      <w:r>
        <w:rPr>
          <w:sz w:val="20"/>
        </w:rPr>
        <w:t>across device OS, services, and product organizations — driving migration of 98% of 11.2T+ daily metrics to a unified, privacy-first observability architecture, enabling AI-driven reliability, compliance, and large-scale experimentation.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Launched a customer journey and lifecycle analytics platform </w:t>
      </w:r>
      <w:r>
        <w:rPr>
          <w:sz w:val="20"/>
        </w:rPr>
        <w:t>providing end-to-end visibility into device usage and engagement — informing product strategy, hardware investment, and experience optimization across 3 major product lines.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Drove large-scale cloud modernization, </w:t>
      </w:r>
      <w:r>
        <w:rPr>
          <w:sz w:val="20"/>
        </w:rPr>
        <w:t>leading migration of legacy systems to AWS and delivering $22.4M in annualized infrastructure savings while improving scalability and operational resilience.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Partnered with VP leadership to define GenAI and Agentic AI strategy, </w:t>
      </w:r>
      <w:r>
        <w:rPr>
          <w:sz w:val="20"/>
        </w:rPr>
        <w:t>multi-year roadmaps, and investment priorities — translating emerging AI capabilities into production platforms and business outcomes, including a live agentic troubleshooting demo for SVP and 20+ L8–L10 leaders.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Established cross-organization launch readiness and execution mechanisms, </w:t>
      </w:r>
      <w:r>
        <w:rPr>
          <w:sz w:val="20"/>
        </w:rPr>
        <w:t>defining planning rhythms, risk management, and release governance that accelerated high-quality launches across device, application, and service portfolios.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Architected a cross-platform middleware strategy </w:t>
      </w:r>
      <w:r>
        <w:rPr>
          <w:sz w:val="20"/>
        </w:rPr>
        <w:t>based on a shared native-code framework to support a "one bug, one fix" model — reducing engineering duplication and accelerating release velocity across all device platforms.</w:t>
      </w:r>
    </w:p>
    <w:p>
      <w:pPr>
        <w:spacing w:before="240" w:after="20" w:line="276" w:lineRule="auto"/>
      </w:pPr>
      <w:r>
        <w:rPr>
          <w:b/>
          <w:sz w:val="22"/>
        </w:rPr>
        <w:t>Senior Manager, System of Insights — Verizon</w:t>
      </w:r>
    </w:p>
    <w:p>
      <w:pPr>
        <w:spacing w:before="0" w:after="120" w:line="276" w:lineRule="auto"/>
      </w:pPr>
      <w:r>
        <w:rPr>
          <w:i/>
          <w:color w:val="666666"/>
          <w:sz w:val="20"/>
        </w:rPr>
        <w:t>Irving, TX | 2010 – 2021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Delivered $69M+ in business impact </w:t>
      </w:r>
      <w:r>
        <w:rPr>
          <w:sz w:val="20"/>
        </w:rPr>
        <w:t>through data-driven initiatives — including 12M call reductions, 79.7% digital self-serve rate, and targeted engagement across the Wireless segment.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Designed and deployed a real-time data platform </w:t>
      </w:r>
      <w:r>
        <w:rPr>
          <w:sz w:val="20"/>
        </w:rPr>
        <w:t>processing 150M+ daily events — enabling unified customer journey analytics, omni-channel orchestration, and proposition arbitration.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Led AI/ML strategy delivering patented fraud detection and predictive billing models </w:t>
      </w:r>
      <w:r>
        <w:rPr>
          <w:sz w:val="20"/>
        </w:rPr>
        <w:t>— boosting agent efficiency, increasing digital deflection by 45%, and reducing call-in rates by 27%.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Mentored and led high-performing global teams, </w:t>
      </w:r>
      <w:r>
        <w:rPr>
          <w:sz w:val="20"/>
        </w:rPr>
        <w:t>driving customer journey strategies, personalized experiences, omni-channel integration, and predictive Next-Best Actions at enterprise scale.</w:t>
      </w:r>
    </w:p>
    <w:p>
      <w:pPr>
        <w:spacing w:before="240" w:after="40" w:line="276" w:lineRule="auto"/>
      </w:pPr>
      <w:r>
        <w:rPr>
          <w:b/>
          <w:color w:val="333333"/>
          <w:sz w:val="26"/>
        </w:rPr>
        <w:t>Innovation &amp; Recognition</w:t>
      </w:r>
    </w:p>
    <w:p>
      <w:pPr>
        <w:spacing w:before="40" w:after="40" w:line="276" w:lineRule="auto"/>
        <w:pBdr>
          <w:bottom w:val="single" w:sz="12" w:space="1" w:color="C4A44D"/>
        </w:pBdr>
      </w:pP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US Patent: </w:t>
      </w:r>
      <w:r>
        <w:rPr>
          <w:sz w:val="20"/>
        </w:rPr>
        <w:t>Systems and methods for identifying a service qualification of a unit based on an image-based window analysis. Patent #11521369 (December 2022)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US Patent: </w:t>
      </w:r>
      <w:r>
        <w:rPr>
          <w:sz w:val="20"/>
        </w:rPr>
        <w:t>Chat Analysis Using Machine Learning. Patent #10990762 (April 2021)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IEEE Senior Member </w:t>
      </w:r>
      <w:r>
        <w:rPr>
          <w:sz w:val="20"/>
        </w:rPr>
        <w:t>— Elevated in 2025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Winner, Startup Weekend Denton 2014 </w:t>
      </w:r>
      <w:r>
        <w:rPr>
          <w:sz w:val="20"/>
        </w:rPr>
        <w:t>— Pitched and prototyped a food discovery app that led to the launch of FiveOh, Inc.</w:t>
      </w:r>
    </w:p>
    <w:p>
      <w:pPr>
        <w:spacing w:before="240" w:after="40" w:line="276" w:lineRule="auto"/>
      </w:pPr>
      <w:r>
        <w:rPr>
          <w:b/>
          <w:color w:val="333333"/>
          <w:sz w:val="26"/>
        </w:rPr>
        <w:t>Education</w:t>
      </w:r>
    </w:p>
    <w:p>
      <w:pPr>
        <w:spacing w:before="40" w:after="40" w:line="276" w:lineRule="auto"/>
        <w:pBdr>
          <w:bottom w:val="single" w:sz="12" w:space="1" w:color="C4A44D"/>
        </w:pBdr>
      </w:pP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University of Texas at Dallas </w:t>
      </w:r>
      <w:r>
        <w:rPr>
          <w:sz w:val="20"/>
        </w:rPr>
        <w:t>— M.S. Computer Science (2009)</w:t>
      </w:r>
    </w:p>
    <w:p>
      <w:pPr>
        <w:pStyle w:val="ListBullet"/>
        <w:spacing w:before="80" w:after="80" w:line="276" w:lineRule="auto"/>
        <w:ind w:left="360"/>
      </w:pPr>
      <w:r>
        <w:rPr>
          <w:b/>
          <w:sz w:val="20"/>
        </w:rPr>
        <w:t xml:space="preserve">Charotar Institute of Science and Technology </w:t>
      </w:r>
      <w:r>
        <w:rPr>
          <w:sz w:val="20"/>
        </w:rPr>
        <w:t>— B.E. Information Technology (2007)</w:t>
      </w:r>
    </w:p>
    <w:p>
      <w:pPr>
        <w:spacing w:before="240" w:after="40" w:line="276" w:lineRule="auto"/>
      </w:pPr>
      <w:r>
        <w:rPr>
          <w:b/>
          <w:color w:val="333333"/>
          <w:sz w:val="26"/>
        </w:rPr>
        <w:t>Areas of Impact</w:t>
      </w:r>
    </w:p>
    <w:p>
      <w:pPr>
        <w:spacing w:before="40" w:after="40" w:line="276" w:lineRule="auto"/>
        <w:pBdr>
          <w:bottom w:val="single" w:sz="12" w:space="1" w:color="C4A44D"/>
        </w:pBdr>
      </w:pPr>
    </w:p>
    <w:p>
      <w:pPr>
        <w:pStyle w:val="ListBullet"/>
        <w:spacing w:before="80" w:after="80" w:line="276" w:lineRule="auto"/>
        <w:ind w:left="360"/>
      </w:pPr>
      <w:r>
        <w:rPr>
          <w:sz w:val="20"/>
        </w:rPr>
        <w:t>AI/ML Platform Strategy &amp; Productionization (GenAI, Agentic AI, LLMs, MCP)</w:t>
      </w:r>
    </w:p>
    <w:p>
      <w:pPr>
        <w:pStyle w:val="ListBullet"/>
        <w:spacing w:before="80" w:after="80" w:line="276" w:lineRule="auto"/>
        <w:ind w:left="360"/>
      </w:pPr>
      <w:r>
        <w:rPr>
          <w:sz w:val="20"/>
        </w:rPr>
        <w:t>Enterprise Observability &amp; Reliability at Scale</w:t>
      </w:r>
    </w:p>
    <w:p>
      <w:pPr>
        <w:pStyle w:val="ListBullet"/>
        <w:spacing w:before="80" w:after="80" w:line="276" w:lineRule="auto"/>
        <w:ind w:left="360"/>
      </w:pPr>
      <w:r>
        <w:rPr>
          <w:sz w:val="20"/>
        </w:rPr>
        <w:t>Cross-Organizational Program Leadership &amp; Stakeholder Alignment</w:t>
      </w:r>
    </w:p>
    <w:p>
      <w:pPr>
        <w:pStyle w:val="ListBullet"/>
        <w:spacing w:before="80" w:after="80" w:line="276" w:lineRule="auto"/>
        <w:ind w:left="360"/>
      </w:pPr>
      <w:r>
        <w:rPr>
          <w:sz w:val="20"/>
        </w:rPr>
        <w:t>Cloud Modernization &amp; Infrastructure Economics</w:t>
      </w:r>
    </w:p>
    <w:p>
      <w:pPr>
        <w:pStyle w:val="ListBullet"/>
        <w:spacing w:before="80" w:after="80" w:line="276" w:lineRule="auto"/>
        <w:ind w:left="360"/>
      </w:pPr>
      <w:r>
        <w:rPr>
          <w:sz w:val="20"/>
        </w:rPr>
        <w:t>Customer Journey Analytics &amp; Experience Optimization</w:t>
      </w:r>
    </w:p>
    <w:p>
      <w:pPr>
        <w:pStyle w:val="ListBullet"/>
        <w:spacing w:before="80" w:after="80" w:line="276" w:lineRule="auto"/>
        <w:ind w:left="360"/>
      </w:pPr>
      <w:r>
        <w:rPr>
          <w:sz w:val="20"/>
        </w:rPr>
        <w:t>Ambiguity Navigation — Defining Problems, Building Consensus, Shipping Solutions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