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SaludAlerta — Documento de Configuración</w:t>
      </w:r>
    </w:p>
    <w:p>
      <w:pPr>
        <w:spacing w:after="60"/>
      </w:pPr>
      <w:r>
        <w:rPr>
          <w:b/>
          <w:bCs/>
          <w:color w:val="1a3a5c"/>
          <w:sz w:val="24"/>
          <w:szCs w:val="24"/>
        </w:rPr>
        <w:t xml:space="preserve">DSY2206 — Cloud Native I · Grupo 2</w:t>
      </w:r>
    </w:p>
    <w:p>
      <w:pPr>
        <w:spacing w:after="40"/>
      </w:pPr>
      <w:r>
        <w:rPr>
          <w:color w:val="7f8c8d"/>
          <w:sz w:val="20"/>
          <w:szCs w:val="20"/>
        </w:rPr>
        <w:t xml:space="preserve">Cristobal Camps (cri.camps@duocuc.cl) · Cynthia Torres (cyn.torres@duocuc.cl)</w:t>
      </w:r>
    </w:p>
    <w:p>
      <w:pPr>
        <w:spacing w:after="400"/>
      </w:pPr>
      <w:r>
        <w:rPr>
          <w:color w:val="7f8c8d"/>
          <w:sz w:val="20"/>
          <w:szCs w:val="20"/>
        </w:rPr>
        <w:t xml:space="preserve">Fecha de configuración: 17 de julio de 2026</w:t>
      </w:r>
    </w:p>
    <w:p>
      <w:pPr>
        <w:spacing w:after="160"/>
      </w:pPr>
      <w:r>
        <w:t xml:space="preserve">Este documento describe la configuración de los tres componentes de infraestructura cloud desarrollados para el sistema SaludAlerta: la autenticación como servicio (IDaaS) mediante Azure AD B2C, el gateway de API mediante Azure API Management, y el sistema de mensajería asíncrona mediante RabbitMQ y Apache Kafka desplegado en AWS EC2.</w:t>
      </w:r>
    </w:p>
    <w:p>
      <w:pPr>
        <w:pStyle w:val="Heading1"/>
        <w:spacing w:after="160" w:before="360"/>
      </w:pPr>
      <w:r>
        <w:t xml:space="preserve">1. Autenticación como Servicio (IDaaS) — Azure AD B2C</w:t>
      </w:r>
    </w:p>
    <w:p>
      <w:pPr>
        <w:spacing w:after="160"/>
      </w:pPr>
      <w:r>
        <w:t xml:space="preserve">El acceso al frontend Angular está protegido mediante Azure Active Directory B2C, integrado con la librería @azure/msal-angular. Todas las rutas de la aplicación (excepto el login) exigen una sesión válida antes de renderizar.</w:t>
      </w:r>
    </w:p>
    <w:p>
      <w:pPr>
        <w:pStyle w:val="Heading2"/>
        <w:spacing w:after="120" w:before="280"/>
      </w:pPr>
      <w:r>
        <w:t xml:space="preserve">1.1 Datos del tenant y la aplicación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62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Tenant B2C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CloudeGrupo2.onmicrosoft.com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 flow (política)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B2C_1_grupo2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Authority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https://CloudeGrupo2.b2clogin.com/CloudeGrupo2.onmicrosoft.com/B2C_1_grupo2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Known authority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CloudeGrupo2.b2clogin.com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 ID (App registration SPA)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498e47b6-e1a3-4881-ad4f-f2859feb9004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Redirect URI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http://localhost:4200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Post-logout redirect URI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http://localhost:4200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Scopes solicitados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openid, profile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Caché de token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localStorage (BrowserCacheLocation.LocalStorage)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1.2 Integración en Angular (MSAL)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MsalModule se inicializa en app.config.ts con una instancia de PublicClientApplication configurada con los datos de la tabla anterior.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MsalGuard protege las rutas /dashboard, /pacientes, /senales, /alertas y /monitoreo mediante canActivate; cualquier acceso sin sesión redirige al flujo de login de B2C (InteractionType.Redirect).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MsalInterceptor queda configurado con un protectedResourceMap vacío: el token JWT no se adjunta automáticamente a las peticiones salientes, sino que cada servicio Angular lo agrega manualmente en el header Authorization al leerlo desde localStorage (clave que contiene “idtoken”).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nombre del usuario autenticado se obtiene decodificando el payload del id_token (base64) y se muestra en la barra de navegación.</w:t>
      </w:r>
    </w:p>
    <w:p>
      <w:pPr>
        <w:pStyle w:val="Heading1"/>
        <w:spacing w:after="160" w:before="360"/>
      </w:pPr>
      <w:r>
        <w:t xml:space="preserve">2. Azure API Management (Gateway)</w:t>
      </w:r>
    </w:p>
    <w:p>
      <w:pPr>
        <w:spacing w:after="160"/>
      </w:pPr>
      <w:r>
        <w:t xml:space="preserve">Todo el tráfico HTTP del frontend hacia los microservicios pasa por una instancia de Azure API Management, que actúa como gateway único: aplica CORS de forma centralizada y desacopla el frontend de las IPs públicas reales de las instancias EC2.</w:t>
      </w:r>
    </w:p>
    <w:p>
      <w:pPr>
        <w:pStyle w:val="Heading2"/>
        <w:spacing w:after="120" w:before="280"/>
      </w:pPr>
      <w:r>
        <w:t xml:space="preserve">2.1 Instancia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62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Nombre del servicio APIM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medicasapimgrupo2s3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Grupo de recursos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grupo2_S1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URL del gateway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https://medicasapimgrupo2s3.azure-api.net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Suscripción requerida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(subscriptionRequired = false en todas las APIs)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2.2 APIs registradas</w:t>
      </w:r>
    </w:p>
    <w:p>
      <w:pPr>
        <w:spacing w:after="160"/>
      </w:pPr>
      <w:r>
        <w:t xml:space="preserve">Se registraron 7 APIs, una por cada backend independiente. El path de cada API es el prefijo con el que el frontend la invoca a través del gateway (por ejemplo, https://medicasapimgrupo2s3.azure-api.net/consumer1-oracle/historial/listar).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500"/>
        <w:gridCol w:w="2400"/>
      </w:tblGrid>
      <w:tr>
        <w:trPr>
          <w:tblHeader/>
        </w:trPr>
        <w:tc>
          <w:tcPr>
            <w:tcW w:type="dxa" w:w="19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 (API ID)</w:t>
            </w:r>
          </w:p>
        </w:tc>
        <w:tc>
          <w:tcPr>
            <w:tcW w:type="dxa" w:w="26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5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Backend (EC2)</w:t>
            </w:r>
          </w:p>
        </w:tc>
        <w:tc>
          <w:tcPr>
            <w:tcW w:type="dxa" w:w="24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Métodos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medicas (BFF)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CRUD de pacientes, señales vitales y alertas clínicas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instancia “medicas-bff” :8080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GET/POST/PUT/DELETE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producer1-alertas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Publica alertas y mensajes en RabbitMQ; simula señales vitales hacia Kafka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instancia “grupo2” :8086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GET/POST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producer2-resumen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Dispara/consulta el resumen periódico (automático cada 5 min)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instancia “grupo2” :8085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consumer1-oracle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Alertas detectadas por Kafka e historial RabbitMQ, persistidos en Oracle Cloud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instancia “grupo2” :8082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GET/PUT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consumer2-json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Archivos de auditoría JSON generados desde RabbitMQ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instancia “grupo2” :8084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GET/DELETE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consumer3-analitica-kafka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Analítica en tiempo real (Kafka Streams) por paciente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instancia “grupo2” :8087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procesador-senales-kafka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Detección de anomalías sobre el stream de señales vitales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instancia “grupo2” :8088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2.3 Política CORS global</w:t>
      </w:r>
    </w:p>
    <w:p>
      <w:pPr>
        <w:spacing w:after="160"/>
      </w:pPr>
      <w:r>
        <w:t xml:space="preserve">Se aplicó una política CORS a nivel global de APIM (no por API individual) para permitir que el frontend Angular servido desde http://localhost:4200 pueda consumir cualquiera de las 7 APIs: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4f4f4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&lt;cors allow-credentials="false"&gt;
  &lt;allowed-origins&gt;&lt;origin&gt;*&lt;/origin&gt;&lt;/allowed-origins&gt;
  &lt;allowed-methods&gt;
    &lt;method&gt;GET&lt;/method&gt;&lt;method&gt;POST&lt;/method&gt;
    &lt;method&gt;PUT&lt;/method&gt;&lt;method&gt;DELETE&lt;/method&gt;
    &lt;method&gt;OPTIONS&lt;/method&gt;
  &lt;/allowed-methods&gt;
  &lt;allowed-headers&gt;&lt;header&gt;*&lt;/header&gt;&lt;/allowed-headers&gt;
&lt;/cors&gt;</w:t>
      </w:r>
    </w:p>
    <w:p>
      <w:pPr>
        <w:spacing w:after="160"/>
      </w:pPr>
      <w:r>
        <w:t xml:space="preserve">Nota: al ser una política de scope global, la sección &lt;backend&gt; no puede usar &lt;base /&gt;; se declara explícitamente &lt;forward-request /&gt; para reenviar la petición al backend configurado en cada API.</w:t>
      </w:r>
    </w:p>
    <w:p>
      <w:pPr>
        <w:pStyle w:val="Heading2"/>
        <w:spacing w:after="120" w:before="280"/>
      </w:pPr>
      <w:r>
        <w:t xml:space="preserve">2.4 Nota operacional — IPs de AWS Academy Learner Lab</w:t>
      </w:r>
    </w:p>
    <w:p>
      <w:pPr>
        <w:spacing w:after="160"/>
      </w:pPr>
      <w:r>
        <w:t xml:space="preserve">Las instancias EC2 corren sobre un AWS Academy Learner Lab. Cada vez que la sesión del lab expira y se reinicia, la instancia recibe una IP pública nueva y un Security Group nuevo (solo con el puerto 22 abierto por defecto). Esto exige, tras cada reinicio del lab: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Actualizar el service-url de las 7 APIs en APIM con az apim api update --service-url …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Agregar una regla de entrada en el Security Group para el rango de puertos 8080-8090 (0.0.0.0/0)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Verificar que los contenedores Docker sigan activos (docker-compose up -d), ya que se detienen junto con la instancia</w:t>
      </w:r>
    </w:p>
    <w:p>
      <w:pPr>
        <w:pStyle w:val="Heading1"/>
        <w:spacing w:after="160" w:before="360"/>
      </w:pPr>
      <w:r>
        <w:t xml:space="preserve">3. Colas de Mensajería — RabbitMQ y Apache Kafka</w:t>
      </w:r>
    </w:p>
    <w:p>
      <w:pPr>
        <w:spacing w:after="160"/>
      </w:pPr>
      <w:r>
        <w:t xml:space="preserve">El sistema de mensajería asíncrona corre en contenedores Docker (docker-compose) sobre una instancia EC2 dedicada, separada de la instancia que aloja el backend BFF.</w:t>
      </w:r>
    </w:p>
    <w:p>
      <w:pPr>
        <w:pStyle w:val="Heading2"/>
        <w:spacing w:after="120" w:before="280"/>
      </w:pPr>
      <w:r>
        <w:t xml:space="preserve">3.1 Instancias EC2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400"/>
      </w:tblGrid>
      <w:tr>
        <w:trPr>
          <w:tblHeader/>
        </w:trPr>
        <w:tc>
          <w:tcPr>
            <w:tcW w:type="dxa" w:w="24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Instancia</w:t>
            </w:r>
          </w:p>
        </w:tc>
        <w:tc>
          <w:tcPr>
            <w:tcW w:type="dxa" w:w="16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4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“grupo2” (i-017b05cf6cc8c669f)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t3.micro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RabbitMQ + clúster Kafka (3 Zookeeper + 3 brokers) + Kafka UI + los 6 microservicios de colas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“medicas-bff” (i-0380fe8bc8059359d)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t2.micro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 BFF (pacientes / señales / alertas) consumido directamente por el frontend original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3.2 RabbitMQ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62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Imagen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rabbitmq:3-management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Puerto AMQP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5672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Puerto consola de administración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15672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Credenciales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Externalizadas en archivo .env (no versionado); usuario/clave por defecto documentados en .env.example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3.3 Clúster Apache Kafka</w:t>
      </w:r>
    </w:p>
    <w:p>
      <w:pPr>
        <w:spacing w:after="160"/>
      </w:pPr>
      <w:r>
        <w:t xml:space="preserve">Se levantó un clúster de 3 nodos (no un broker único) para cumplir con el requisito de la pauta de un quorum real de Zookeeper y replicación entre brokers.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62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Zookeepers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(confluentinc/cp-zookeeper:7.6.1), puertos 2181/2182/2183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Brokers Kafka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(confluentinc/cp-kafka:7.6.1), puertos 9092/9093/9094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Replication factor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Min in-sync replicas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Kafka UI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provectuslabs/kafka-ui, puerto 8090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Topics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senales_vitales (stream continuo de signos vitales) y alertas (anomalías detectadas)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3.4 Microservicios y su rol en el pipeline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600"/>
      </w:tblGrid>
      <w:tr>
        <w:trPr>
          <w:tblHeader/>
        </w:trPr>
        <w:tc>
          <w:tcPr>
            <w:tcW w:type="dxa" w:w="24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Microservicio</w:t>
            </w:r>
          </w:p>
        </w:tc>
        <w:tc>
          <w:tcPr>
            <w:tcW w:type="dxa" w:w="14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Puerto</w:t>
            </w:r>
          </w:p>
        </w:tc>
        <w:tc>
          <w:tcPr>
            <w:tcW w:type="dxa" w:w="56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producer1-alertas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8086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Publica alertas médicas y mensajes genéricos en RabbitMQ. Además, un scheduler interno publica una lectura de signos vitales simulada cada 1 segundo en el topic Kafka senales_vitales (round-robin sobre 5 pacientes, ~20% de probabilidad de anomalía).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producer2-resumen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8085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Tarea @Scheduled cada 5 minutos que arma y publica en RabbitMQ un resumen periódico de signos vitales por paciente.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procesador-senales-kafka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8088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Consume senales_vitales, evalúa cada lectura contra rangos clínicos normales y, si detecta una anomalía, la publica en el topic alertas.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consumer1-oracle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8082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Consume la cola de historial de RabbitMQ y el topic alertas de Kafka; persiste ambos en Oracle Cloud (tablas ALERTAS_KAFKA_GRUPO2 e HISTORIAL). Expone GET /listar y PUT /{id}/revisar para el personal médico.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consumer2-json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8084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Consume RabbitMQ y genera archivos JSON de auditoría en disco, con endpoints para listarlos, verlos y eliminarlos.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consumer3-analitica-kafka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8087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Kafka Streams: agrega en tiempo real lecturas totales, lecturas anómalas y promedios (FC, SpO2, temperatura) por paciente.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3.5 Seguridad de red (Security Group)</w:t>
      </w:r>
    </w:p>
    <w:p>
      <w:pPr>
        <w:spacing w:after="160"/>
      </w:pPr>
      <w:r>
        <w:t xml:space="preserve">Reglas de entrada necesarias sobre la instancia “grupo2”, además del puerto 22 (SSH) por defecto: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rPr>
          <w:tblHeader/>
        </w:trPr>
        <w:tc>
          <w:tcPr>
            <w:tcW w:type="dxa" w:w="24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4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Rango de puertos</w:t>
            </w:r>
          </w:p>
        </w:tc>
        <w:tc>
          <w:tcPr>
            <w:tcW w:type="dxa" w:w="4400"/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Origen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SSH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0.0.0.0/0 (acceso vía EC2 Instance Connect)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TCP personalizado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8080-8090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0.0.0.0/0 (microservicios + Kafka UI)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TCP personalizado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5672, 15672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0.0.0.0/0 (RabbitMQ AMQP y consola)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TCP personalizado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9092-9094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0.0.0.0/0 (brokers Kafka, listener externo)</w:t>
            </w:r>
          </w:p>
        </w:tc>
      </w:tr>
    </w:tbl>
    <w:p>
      <w:pPr>
        <w:pStyle w:val="Heading1"/>
        <w:spacing w:after="160" w:before="360"/>
      </w:pPr>
      <w:r>
        <w:t xml:space="preserve">4. Resumen del flujo end-to-end</w:t>
      </w:r>
    </w:p>
    <w:p>
      <w:pPr>
        <w:spacing w:after="160"/>
      </w:pPr>
      <w:r>
        <w:t xml:space="preserve">1. El usuario inicia sesión contra Azure AD B2C desde el frontend Angular; MsalGuard bloquea cualquier ruta hasta obtener el id_token.</w:t>
      </w:r>
    </w:p>
    <w:p>
      <w:pPr>
        <w:spacing w:after="160"/>
      </w:pPr>
      <w:r>
        <w:t xml:space="preserve">2. El frontend llama siempre al gateway https://medicasapimgrupo2s3.azure-api.net/&lt;api&gt;/…, nunca directo a una IP de EC2.</w:t>
      </w:r>
    </w:p>
    <w:p>
      <w:pPr>
        <w:spacing w:after="160"/>
      </w:pPr>
      <w:r>
        <w:t xml:space="preserve">3. APIM aplica CORS y reenvía la petición al backend real configurado en cada API (BFF o alguno de los 6 microservicios).</w:t>
      </w:r>
    </w:p>
    <w:p>
      <w:pPr>
        <w:spacing w:after="160"/>
      </w:pPr>
      <w:r>
        <w:t xml:space="preserve">4. Los microservicios de colas se comunican entre sí por RabbitMQ (colas clásicas punto a punto) y Kafka (streaming continuo de signos vitales y detección de anomalías), persistiendo el resultado final en Oracle Cloud.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2026-07-17T06:40:17.831Z</dcterms:created>
  <dcterms:modified xsi:type="dcterms:W3CDTF">2026-07-17T06:40:17.833Z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