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SaludAlerta — Guion Video de Presentación</w:t>
      </w:r>
    </w:p>
    <w:p>
      <w:pPr>
        <w:spacing w:after="60"/>
      </w:pPr>
      <w:r>
        <w:rPr>
          <w:b/>
          <w:bCs/>
          <w:color w:val="1a3a5c"/>
          <w:sz w:val="24"/>
          <w:szCs w:val="24"/>
        </w:rPr>
        <w:t xml:space="preserve">DSY2206 — Cloud Native I · Grupo 2 · Duración objetivo: 10-15 min</w:t>
      </w:r>
    </w:p>
    <w:p>
      <w:pPr>
        <w:spacing w:after="400"/>
      </w:pPr>
      <w:r>
        <w:rPr>
          <w:color w:val="7f8c8d"/>
          <w:sz w:val="20"/>
          <w:szCs w:val="20"/>
        </w:rPr>
        <w:t xml:space="preserve">Cristobal Camps · Cynthia Torres — grabar en Microsoft Teams, compartiendo pantalla</w:t>
      </w:r>
    </w:p>
    <w:p>
      <w:pPr>
        <w:spacing w:after="140"/>
      </w:pPr>
      <w:r>
        <w:t xml:space="preserve">Este guion divide la demo en bloques cortos con un responsable claro por bloque, para que la grabación en Teams sea fluida y ambos integrantes queden con participación visible en el video (cámara/voz), no solo en el código.</w:t>
      </w:r>
    </w:p>
    <w:p>
      <w:pPr>
        <w:pStyle w:val="Heading1"/>
        <w:spacing w:after="140" w:before="320"/>
      </w:pPr>
      <w:r>
        <w:t xml:space="preserve">Reparto sugerido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rPr>
          <w:tblHeader/>
        </w:trPr>
        <w:tc>
          <w:tcPr>
            <w:tcW w:type="dxa" w:w="3200"/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Bloque</w:t>
            </w:r>
          </w:p>
        </w:tc>
        <w:tc>
          <w:tcPr>
            <w:tcW w:type="dxa" w:w="6200"/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Presenta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 Introducción y arquitectura general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Cristobal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2. Login IDaaS (Azure AD B2C)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Cynthia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3. API Manager en el Portal de Azure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Cristobal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4. RabbitMQ — colas y mensajes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Cynthia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5. Kafka — cluster, topics y stream en vivo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Cristobal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6. Frontend integrado (Monitoreo) end-to-end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Cynthia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7. Cierre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Ambos</w:t>
            </w:r>
          </w:p>
        </w:tc>
      </w:tr>
    </w:tbl>
    <w:p>
      <w:pPr>
        <w:spacing w:after="200"/>
      </w:pPr>
    </w:p>
    <w:p>
      <w:pPr>
        <w:pStyle w:val="Heading1"/>
        <w:spacing w:after="140" w:before="320"/>
      </w:pPr>
      <w:r>
        <w:t xml:space="preserve">1. Introducción y arquitectura (1-2 min)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Nombre del proyecto, integrantes, ramo y sumativa que se está evaluando.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Mostrar un diagrama o explicar de palabra: Frontend Angular → Azure AD B2C (login) → Azure API Management (gateway) → 7 backends (BFF + 6 microservicios) → RabbitMQ / Kafka → Oracle Cloud.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Aclarar que todo corre sobre 2 instancias EC2 de AWS Academy + servicios PaaS de Azure (AD B2C, API Management).</w:t>
      </w:r>
    </w:p>
    <w:p>
      <w:pPr>
        <w:pStyle w:val="Heading1"/>
        <w:spacing w:after="140" w:before="320"/>
      </w:pPr>
      <w:r>
        <w:t xml:space="preserve">2. Login IDaaS — Azure AD B2C (1-2 min)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Abrir la app en localhost:4200, mostrar que redirige automáticamente al login de Azure AD B2C (pantalla con el dominio CloudeGrupo2.b2clogin.com).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Iniciar sesión con una cuenta de prueba.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Mostrar que, tras el login, el nombre de usuario aparece en la barra de navegación y las rutas protegidas (pacientes, señales, alertas, monitoreo) ya son accesibles.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Mencionar brevemente: MsalGuard protege las rutas, MsalInterceptor/servicio adjunta el token JWT en cada request.</w:t>
      </w:r>
    </w:p>
    <w:p>
      <w:pPr>
        <w:pStyle w:val="Heading1"/>
        <w:spacing w:after="140" w:before="320"/>
      </w:pPr>
      <w:r>
        <w:t xml:space="preserve">3. Azure API Management (2 min)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En el Portal de Azure, abrir el servicio medicasapimgrupo2s3 → APIs.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Mostrar la lista de las 7 APIs registradas (medicas-bff + 6 microservicios) y hacer clic en una para mostrar su backend URL configurado.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Mostrar la política CORS global (Diseño → All APIs → Políticas de entrada).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Opcional: hacer una llamada de prueba desde el portal ("Probar") a GET /consumer1-oracle/historial/listar y mostrar la respuesta 200.</w:t>
      </w:r>
    </w:p>
    <w:p>
      <w:pPr>
        <w:pStyle w:val="Heading1"/>
        <w:spacing w:after="140" w:before="320"/>
      </w:pPr>
      <w:r>
        <w:t xml:space="preserve">4. RabbitMQ (2 min)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Abrir la consola de administración de RabbitMQ (http://&lt;ip-ec2&gt;:15672).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Mostrar las colas activas y algún mensaje en tránsito o el conteo de mensajes publicados/consumidos.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Desde la página Monitoreo del frontend, publicar una alerta médica manual (Productor 1) y mostrar en la consola de RabbitMQ que el mensaje llegó a la cola.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Mostrar la sección Historial (RabbitMQ → Oracle) del frontend actualizándose con el nuevo registro.</w:t>
      </w:r>
    </w:p>
    <w:p>
      <w:pPr>
        <w:pStyle w:val="Heading1"/>
        <w:spacing w:after="140" w:before="320"/>
      </w:pPr>
      <w:r>
        <w:t xml:space="preserve">5. Kafka (2-3 min)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Abrir Kafka UI (http://&lt;ip-ec2&gt;:8090), mostrar el clúster de 3 brokers y los topics senales_vitales y alertas.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Entrar al topic senales_vitales y mostrar mensajes nuevos llegando en vivo (el simulador publica 1 cada segundo).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Explicar el pipeline: procesador-senales-kafka detecta anomalías → publica en el topic alertas → consumer1-oracle las persiste en Oracle.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En el frontend, mostrar la tarjeta "Alertas Detectadas — Kafka → Oracle" poblándose en tiempo real y hacer clic en "Marcar revisada" para mostrar el flujo de actualización.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Mostrar la tarjeta "Analítica en Tiempo Real (Kafka Streams)" con los promedios por paciente.</w:t>
      </w:r>
    </w:p>
    <w:p>
      <w:pPr>
        <w:pStyle w:val="Heading1"/>
        <w:spacing w:after="140" w:before="320"/>
      </w:pPr>
      <w:r>
        <w:t xml:space="preserve">6. Frontend integrado end-to-end (2 min)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Recorrer /pacientes, /senales, /alertas mostrando que los datos vienen del BFF a través de APIM (no de una IP directa).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Insistir en el punto clave: todo el tráfico pasa por https://medicasapimgrupo2s3.azure-api.net — se puede mostrar la pestaña Red del navegador para evidenciarlo.</w:t>
      </w:r>
    </w:p>
    <w:p>
      <w:pPr>
        <w:pStyle w:val="Heading1"/>
        <w:spacing w:after="140" w:before="320"/>
      </w:pPr>
      <w:r>
        <w:t xml:space="preserve">7. Cierre (30 seg - 1 min)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Resumen de lo cubierto: IDaaS, API Manager, RabbitMQ y Kafka, todo integrado en un solo frontend.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Agradecimiento y cierre de la grabación.</w:t>
      </w:r>
    </w:p>
    <w:p>
      <w:pPr>
        <w:pStyle w:val="Heading1"/>
        <w:spacing w:after="140" w:before="320"/>
      </w:pPr>
      <w:r>
        <w:t xml:space="preserve">Checklist previo a grabar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Reiniciar el AWS Academy Learner Lab con anticipación (para no perder tiempo de grabación esperando que arranque).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Verificar que los 9 contenedores Docker estén Up (docker-compose ps) y, si no, docker-compose up -d.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Verificar que el Security Group tenga abiertos los puertos 8080-8090, 5672, 15672, 9092-9094.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Si la IP de alguna instancia cambió, actualizar el service-url de las 7 APIs en APIM antes de grabar.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Tener el frontend (ng serve) corriendo y probado de antemano — no descubrir errores en vivo.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Grabar en Teams con ambos integrantes con cámara/micrófono activos al menos en la introducción y el cierre.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2026-07-17T06:42:21.359Z</dcterms:created>
  <dcterms:modified xsi:type="dcterms:W3CDTF">2026-07-17T06:42:21.359Z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