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E12A1C"/>
          <w:sz w:val="20"/>
        </w:rPr>
        <w:t>PonteNext Management Portal</w:t>
      </w:r>
    </w:p>
    <w:p>
      <w:pPr>
        <w:spacing w:after="160"/>
      </w:pPr>
      <w:r>
        <w:rPr>
          <w:rFonts w:ascii="Calibri" w:hAnsi="Calibri" w:eastAsia="Calibri"/>
          <w:b/>
          <w:color w:val="18181B"/>
          <w:sz w:val="48"/>
        </w:rPr>
        <w:t>Guida video formativi</w:t>
      </w:r>
    </w:p>
    <w:p>
      <w:pPr>
        <w:spacing w:after="280"/>
      </w:pPr>
      <w:r>
        <w:rPr>
          <w:rFonts w:ascii="Calibri" w:hAnsi="Calibri" w:eastAsia="Calibri"/>
          <w:color w:val="71717A"/>
          <w:sz w:val="24"/>
        </w:rPr>
        <w:t>Copioni MP4 con dati demo, audio e salvataggio fuori repository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7F7F5"/>
          </w:tcPr>
          <w:p>
            <w:r>
              <w:rPr>
                <w:rFonts w:ascii="Calibri" w:hAnsi="Calibri" w:eastAsia="Calibri"/>
                <w:color w:val="71717A"/>
                <w:sz w:val="18"/>
              </w:rPr>
              <w:t>Formato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7F7F5"/>
          </w:tcPr>
          <w:p>
            <w:r>
              <w:rPr>
                <w:rFonts w:ascii="Calibri" w:hAnsi="Calibri" w:eastAsia="Calibri"/>
                <w:color w:val="71717A"/>
                <w:sz w:val="18"/>
              </w:rPr>
              <w:t>DOCX operativo, versione documentale 1.2.2</w:t>
            </w:r>
          </w:p>
        </w:tc>
      </w:tr>
    </w:tbl>
    <w:p/>
    <w:p>
      <w:r>
        <w:rPr>
          <w:rFonts w:ascii="Calibri" w:hAnsi="Calibri" w:eastAsia="Calibri"/>
          <w:color w:val="18181B"/>
        </w:rPr>
        <w:t>Piano operativo per piccoli video formativi PonteNext.</w:t>
      </w:r>
    </w:p>
    <w:p>
      <w:r>
        <w:rPr>
          <w:rFonts w:ascii="Calibri" w:hAnsi="Calibri" w:eastAsia="Calibri"/>
          <w:color w:val="18181B"/>
        </w:rPr>
        <w:t>Scelte definitive: usare dati demo, formato MP4, salvataggio fuori repository, audio incluso, nessuna versione mobile separata.</w:t>
      </w:r>
    </w:p>
    <w:p>
      <w:pPr>
        <w:pStyle w:val="Heading1"/>
      </w:pPr>
      <w:r>
        <w:t>1. Regole prima di registrare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mostrare .env.local.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mostrare chiavi Supabase, Resend o Vercel.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mostrare dati personali reali senza autorizzazione.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Preferire dati demo o anonimizzati.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inviare email reali durante una registrazione.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scaricare export massivi con dati reali.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Spegnere notifiche desktop e browser.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Verificare zoom browser al 100%.</w:t>
      </w:r>
    </w:p>
    <w:p>
      <w:pPr>
        <w:pStyle w:val="Heading1"/>
      </w:pPr>
      <w:r>
        <w:t>2. Formati consigliati</w:t>
      </w:r>
    </w:p>
    <w:p>
      <w:r>
        <w:rPr>
          <w:rFonts w:ascii="Calibri" w:hAnsi="Calibri" w:eastAsia="Calibri"/>
          <w:color w:val="18181B"/>
        </w:rPr>
        <w:t>Formato consigliato: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MP4 H.264, 1080p, 30 fps.</w:t>
      </w:r>
    </w:p>
    <w:p>
      <w:r>
        <w:rPr>
          <w:rFonts w:ascii="Calibri" w:hAnsi="Calibri" w:eastAsia="Calibri"/>
          <w:color w:val="18181B"/>
        </w:rPr>
        <w:t>Alternativa leggera: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WebM, 1080p, 30 fps.</w:t>
      </w:r>
    </w:p>
    <w:p>
      <w:r>
        <w:rPr>
          <w:rFonts w:ascii="Calibri" w:hAnsi="Calibri" w:eastAsia="Calibri"/>
          <w:color w:val="18181B"/>
        </w:rPr>
        <w:t>Durata: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2-5 minuti per video;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 flusso per video;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evitare video unici troppo lunghi.</w:t>
      </w:r>
    </w:p>
    <w:p>
      <w:pPr>
        <w:pStyle w:val="Heading1"/>
      </w:pPr>
      <w:r>
        <w:t>3. Destinazione file</w:t>
      </w:r>
    </w:p>
    <w:p>
      <w:r>
        <w:rPr>
          <w:rFonts w:ascii="Calibri" w:hAnsi="Calibri" w:eastAsia="Calibri"/>
          <w:color w:val="18181B"/>
        </w:rPr>
        <w:t>I video vanno salvati fuori repository.</w:t>
      </w:r>
    </w:p>
    <w:p>
      <w:r>
        <w:rPr>
          <w:rFonts w:ascii="Calibri" w:hAnsi="Calibri" w:eastAsia="Calibri"/>
          <w:color w:val="18181B"/>
        </w:rPr>
        <w:t>Percorso locale consigliato: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C:\tmp\pontenext-training-videos</w:t>
      </w:r>
    </w:p>
    <w:p>
      <w:r>
        <w:rPr>
          <w:rFonts w:ascii="Calibri" w:hAnsi="Calibri" w:eastAsia="Calibri"/>
          <w:color w:val="18181B"/>
        </w:rPr>
        <w:t>Nomi suggeriti: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01-login-navigation.mp4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02-members-roles.mp4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03-memberships-renewals.mp4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04-sponsors-events.mp4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05-email-campaigns.mp4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06-reports-export.mp4</w:t>
      </w:r>
    </w:p>
    <w:p>
      <w:r>
        <w:rPr>
          <w:rFonts w:ascii="Calibri" w:hAnsi="Calibri" w:eastAsia="Calibri"/>
          <w:color w:val="18181B"/>
        </w:rPr>
        <w:t>Non committare file video nel repository.</w:t>
      </w:r>
    </w:p>
    <w:p>
      <w:pPr>
        <w:pStyle w:val="Heading1"/>
      </w:pPr>
      <w:r>
        <w:t>4. Video 01 - Login e navigazione</w:t>
      </w:r>
    </w:p>
    <w:p>
      <w:r>
        <w:rPr>
          <w:rFonts w:ascii="Calibri" w:hAnsi="Calibri" w:eastAsia="Calibri"/>
          <w:color w:val="18181B"/>
        </w:rPr>
        <w:t>Durata target: 2 minuti.</w:t>
      </w:r>
    </w:p>
    <w:p>
      <w:r>
        <w:rPr>
          <w:rFonts w:ascii="Calibri" w:hAnsi="Calibri" w:eastAsia="Calibri"/>
          <w:color w:val="18181B"/>
        </w:rPr>
        <w:t>Obiettivo: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accesso amministratore;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menu desktop/mobile;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logout.</w:t>
      </w:r>
    </w:p>
    <w:p>
      <w:r>
        <w:rPr>
          <w:rFonts w:ascii="Calibri" w:hAnsi="Calibri" w:eastAsia="Calibri"/>
          <w:color w:val="18181B"/>
        </w:rPr>
        <w:t>Percorso: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/login.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Login con admin demo.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Atterrare su /dashboard.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menu laterale.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Passare tra Dashboard, Soci, Scadenze e Report.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Su mobile aprire e chiudere menu.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Fare logout.</w:t>
      </w:r>
    </w:p>
    <w:p>
      <w:r>
        <w:rPr>
          <w:rFonts w:ascii="Calibri" w:hAnsi="Calibri" w:eastAsia="Calibri"/>
          <w:color w:val="18181B"/>
        </w:rPr>
        <w:t>Copione: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Questo e' l'accesso amministrativo. Le sezioni sono protette: senza sessione valida si torna alla login. Su mobile il menu si apre dal pulsante in alto e si richiude quando scelgo una voce o clicco fuori.</w:t>
      </w:r>
    </w:p>
    <w:p>
      <w:r>
        <w:rPr>
          <w:rFonts w:ascii="Calibri" w:hAnsi="Calibri" w:eastAsia="Calibri"/>
          <w:color w:val="18181B"/>
        </w:rPr>
        <w:t>Verifica: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logout torna a login;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nessuno scroll orizzontale mobile.</w:t>
      </w:r>
    </w:p>
    <w:p>
      <w:pPr>
        <w:pStyle w:val="Heading1"/>
      </w:pPr>
      <w:r>
        <w:t>5. Video 02 - Soci e ruoli</w:t>
      </w:r>
    </w:p>
    <w:p>
      <w:r>
        <w:rPr>
          <w:rFonts w:ascii="Calibri" w:hAnsi="Calibri" w:eastAsia="Calibri"/>
          <w:color w:val="18181B"/>
        </w:rPr>
        <w:t>Durata target: 3 minuti.</w:t>
      </w:r>
    </w:p>
    <w:p>
      <w:r>
        <w:rPr>
          <w:rFonts w:ascii="Calibri" w:hAnsi="Calibri" w:eastAsia="Calibri"/>
          <w:color w:val="18181B"/>
        </w:rPr>
        <w:t>Obiettivo: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lista soci;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usare ricerca, filtri e ordinamento;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aprire dettaglio socio;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ruoli.</w:t>
      </w:r>
    </w:p>
    <w:p>
      <w:r>
        <w:rPr>
          <w:rFonts w:ascii="Calibri" w:hAnsi="Calibri" w:eastAsia="Calibri"/>
          <w:color w:val="18181B"/>
        </w:rPr>
        <w:t>Percorso: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/members.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Usare ricerca/filtro/ordinamento.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dettaglio socio demo.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anagrafica, iscrizioni, pagamenti e scadenze.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impostazioni ruoli.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assegnazione ruolo.</w:t>
      </w:r>
    </w:p>
    <w:p>
      <w:r>
        <w:rPr>
          <w:rFonts w:ascii="Calibri" w:hAnsi="Calibri" w:eastAsia="Calibri"/>
          <w:color w:val="18181B"/>
        </w:rPr>
        <w:t>Copione: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La scheda socio contiene dati anagrafici e collegamenti operativi. Lo stato anagrafico del socio non e' lo stato associativo: quello deriva dalle iscrizioni.</w:t>
      </w:r>
    </w:p>
    <w:p>
      <w:r>
        <w:rPr>
          <w:rFonts w:ascii="Calibri" w:hAnsi="Calibri" w:eastAsia="Calibri"/>
          <w:color w:val="18181B"/>
        </w:rPr>
        <w:t>Dato demo richiesto: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almeno un socio non reale;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almeno un ruolo base.</w:t>
      </w:r>
    </w:p>
    <w:p>
      <w:pPr>
        <w:pStyle w:val="Heading1"/>
      </w:pPr>
      <w:r>
        <w:t>6. Video 03 - Iscrizioni, pagamenti e rinnovo rapido</w:t>
      </w:r>
    </w:p>
    <w:p>
      <w:r>
        <w:rPr>
          <w:rFonts w:ascii="Calibri" w:hAnsi="Calibri" w:eastAsia="Calibri"/>
          <w:color w:val="18181B"/>
        </w:rPr>
        <w:t>Durata target: 4 minuti.</w:t>
      </w:r>
    </w:p>
    <w:p>
      <w:r>
        <w:rPr>
          <w:rFonts w:ascii="Calibri" w:hAnsi="Calibri" w:eastAsia="Calibri"/>
          <w:color w:val="18181B"/>
        </w:rPr>
        <w:t>Obiettivo: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iscrizione;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pagamento non contabile;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scadenza;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rinnovo rapido.</w:t>
      </w:r>
    </w:p>
    <w:p>
      <w:r>
        <w:rPr>
          <w:rFonts w:ascii="Calibri" w:hAnsi="Calibri" w:eastAsia="Calibri"/>
          <w:color w:val="18181B"/>
        </w:rPr>
        <w:t>Percorso: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/memberships.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membership demo.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payment_status.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/expirations.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Applicare filtri 30, 60 e 90 giorni.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Avviare rinnovo rapido.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nuova membership creata.</w:t>
      </w:r>
    </w:p>
    <w:p>
      <w:r>
        <w:rPr>
          <w:rFonts w:ascii="Calibri" w:hAnsi="Calibri" w:eastAsia="Calibri"/>
          <w:color w:val="18181B"/>
        </w:rPr>
        <w:t>Copione: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Ogni rinnovo crea una nuova iscrizione. La riga precedente resta storica e non viene estesa. I pagamenti servono solo a tracciare quote operative, non sono contabilita'.</w:t>
      </w:r>
    </w:p>
    <w:p>
      <w:pPr>
        <w:pStyle w:val="Heading1"/>
      </w:pPr>
      <w:r>
        <w:t>7. Video 04 - Sponsor, contributi ed eventi</w:t>
      </w:r>
    </w:p>
    <w:p>
      <w:r>
        <w:rPr>
          <w:rFonts w:ascii="Calibri" w:hAnsi="Calibri" w:eastAsia="Calibri"/>
          <w:color w:val="18181B"/>
        </w:rPr>
        <w:t>Durata target: 4 minuti.</w:t>
      </w:r>
    </w:p>
    <w:p>
      <w:r>
        <w:rPr>
          <w:rFonts w:ascii="Calibri" w:hAnsi="Calibri" w:eastAsia="Calibri"/>
          <w:color w:val="18181B"/>
        </w:rPr>
        <w:t>Obiettivo: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sponsor;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contributi monetari e non monetari;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evento;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collegamento sponsor-evento.</w:t>
      </w:r>
    </w:p>
    <w:p>
      <w:r>
        <w:rPr>
          <w:rFonts w:ascii="Calibri" w:hAnsi="Calibri" w:eastAsia="Calibri"/>
          <w:color w:val="18181B"/>
        </w:rPr>
        <w:t>Percorso: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/sponsors.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dettaglio sponsor demo.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contributi.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/events.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dettaglio evento demo.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sponsor collegati.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contributo opzionalmente collegato a evento.</w:t>
      </w:r>
    </w:p>
    <w:p>
      <w:r>
        <w:rPr>
          <w:rFonts w:ascii="Calibri" w:hAnsi="Calibri" w:eastAsia="Calibri"/>
          <w:color w:val="18181B"/>
        </w:rPr>
        <w:t>Copione: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Uno sponsor puo' esistere anche senza contributi. Il collegamento sponsor-evento non implica automaticamente un contributo economico. I contributi restano dati operativi, senza fatture o IVA.</w:t>
      </w:r>
    </w:p>
    <w:p>
      <w:pPr>
        <w:pStyle w:val="Heading1"/>
      </w:pPr>
      <w:r>
        <w:t>8. Video 05 - Email e campagne</w:t>
      </w:r>
    </w:p>
    <w:p>
      <w:r>
        <w:rPr>
          <w:rFonts w:ascii="Calibri" w:hAnsi="Calibri" w:eastAsia="Calibri"/>
          <w:color w:val="18181B"/>
        </w:rPr>
        <w:t>Durata target: 3 minuti.</w:t>
      </w:r>
    </w:p>
    <w:p>
      <w:r>
        <w:rPr>
          <w:rFonts w:ascii="Calibri" w:hAnsi="Calibri" w:eastAsia="Calibri"/>
          <w:color w:val="18181B"/>
        </w:rPr>
        <w:t>Obiettivo: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creare o aprire bozza;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selezionare segmento;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vedere anteprima;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spiegare conferma invio.</w:t>
      </w:r>
    </w:p>
    <w:p>
      <w:r>
        <w:rPr>
          <w:rFonts w:ascii="Calibri" w:hAnsi="Calibri" w:eastAsia="Calibri"/>
          <w:color w:val="18181B"/>
        </w:rPr>
        <w:t>Percorso: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/email.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template.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campagne.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Creare o aprire campagna demo.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Selezionare segmento demo.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anteprima.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Fermarsi prima dell'invio reale oppure usare solo indirizzo test autorizzato.</w:t>
      </w:r>
    </w:p>
    <w:p>
      <w:r>
        <w:rPr>
          <w:rFonts w:ascii="Calibri" w:hAnsi="Calibri" w:eastAsia="Calibri"/>
          <w:color w:val="18181B"/>
        </w:rPr>
        <w:t>Copione: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La campagna nasce come bozza. I destinatari vengono salvati con l'email effettivamente usata. L'invio non parte mai da solo: serve conferma amministratore.</w:t>
      </w:r>
    </w:p>
    <w:p>
      <w:r>
        <w:rPr>
          <w:rFonts w:ascii="Calibri" w:hAnsi="Calibri" w:eastAsia="Calibri"/>
          <w:color w:val="18181B"/>
        </w:rPr>
        <w:t>Divieto: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inviare a segmenti reali durante registrazione.</w:t>
      </w:r>
    </w:p>
    <w:p>
      <w:pPr>
        <w:pStyle w:val="Heading1"/>
      </w:pPr>
      <w:r>
        <w:t>9. Video 06 - Report ed export</w:t>
      </w:r>
    </w:p>
    <w:p>
      <w:r>
        <w:rPr>
          <w:rFonts w:ascii="Calibri" w:hAnsi="Calibri" w:eastAsia="Calibri"/>
          <w:color w:val="18181B"/>
        </w:rPr>
        <w:t>Durata target: 2 minuti.</w:t>
      </w:r>
    </w:p>
    <w:p>
      <w:r>
        <w:rPr>
          <w:rFonts w:ascii="Calibri" w:hAnsi="Calibri" w:eastAsia="Calibri"/>
          <w:color w:val="18181B"/>
        </w:rPr>
        <w:t>Obiettivo: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mostrare report;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applicare filtri;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esportare CSV/XLSX su dati demo o limitati.</w:t>
      </w:r>
    </w:p>
    <w:p>
      <w:r>
        <w:rPr>
          <w:rFonts w:ascii="Calibri" w:hAnsi="Calibri" w:eastAsia="Calibri"/>
          <w:color w:val="18181B"/>
        </w:rPr>
        <w:t>Percorso: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Aprire /reports.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Scegliere tipo report.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Applicare filtri.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Mostrare preview.</w:t>
      </w:r>
    </w:p>
    <w:p>
      <w:pPr>
        <w:pStyle w:val="ListNumber"/>
      </w:pPr>
      <w:r>
        <w:rPr>
          <w:rFonts w:ascii="Calibri" w:hAnsi="Calibri" w:eastAsia="Calibri"/>
          <w:color w:val="18181B"/>
        </w:rPr>
        <w:t>Esportare CSV o XLSX se i dati sono demo.</w:t>
      </w:r>
    </w:p>
    <w:p>
      <w:r>
        <w:rPr>
          <w:rFonts w:ascii="Calibri" w:hAnsi="Calibri" w:eastAsia="Calibri"/>
          <w:color w:val="18181B"/>
        </w:rPr>
        <w:t>Copione: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I report sono export operativi. I formati disponibili sono CSV e XLSX. Non esistono PDF, fatture o prima nota.</w:t>
      </w:r>
    </w:p>
    <w:p>
      <w:pPr>
        <w:pStyle w:val="Heading1"/>
      </w:pPr>
      <w:r>
        <w:t>10. Checklist registrazione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Dati demo disponibili.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Nessuna chiave API visibile.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Nessuna email reale inviata.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Nessun export massivo reale.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Browser pulito.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Zoom browser 100%.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Desktop verificato.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Mobile verificato se incluso.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File nominato secondo convenzione.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Video rivisto prima della condivisione.</w:t>
      </w:r>
    </w:p>
    <w:p>
      <w:pPr>
        <w:pStyle w:val="Heading1"/>
      </w:pPr>
      <w:r>
        <w:t>11. Scelte confermate</w:t>
      </w:r>
    </w:p>
    <w:p>
      <w:pPr>
        <w:pStyle w:val="ListNumber"/>
      </w:pPr>
      <w:r>
        <w:t>Dati: demo.</w:t>
      </w:r>
    </w:p>
    <w:p>
      <w:pPr>
        <w:pStyle w:val="ListNumber"/>
      </w:pPr>
      <w:r>
        <w:t>Destinazione: fuori repository.</w:t>
      </w:r>
    </w:p>
    <w:p>
      <w:pPr>
        <w:pStyle w:val="ListNumber"/>
      </w:pPr>
      <w:r>
        <w:t>Formato: MP4.</w:t>
      </w:r>
    </w:p>
    <w:p>
      <w:pPr>
        <w:pStyle w:val="ListNumber"/>
      </w:pPr>
      <w:r>
        <w:t>Audio: incluso.</w:t>
      </w:r>
    </w:p>
    <w:p>
      <w:pPr>
        <w:pStyle w:val="ListNumber"/>
      </w:pPr>
      <w:r>
        <w:t>Mobile: nessuna versione separata.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E12A1C"/>
          <w:sz w:val="32"/>
        </w:rPr>
        <w:t>Storyboard visuale</w:t>
      </w:r>
    </w:p>
    <w:p>
      <w:r>
        <w:rPr>
          <w:rFonts w:ascii="Calibri" w:hAnsi="Calibri" w:eastAsia="Calibri"/>
          <w:color w:val="18181B"/>
          <w:sz w:val="21"/>
        </w:rPr>
        <w:t>Ogni mini video MP4 puo usare queste schermate come traccia visiva. I video devono essere salvati fuori repository e registrati con dati demo.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Login amministratore brandizzato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Dashboard operativa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mb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Elenco soci con filtri e ordinamento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bershi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Iscrizioni e pagamenti non contabili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pi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Scadenze e rinnovo rapido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pons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Sponsor e contributi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v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Eventi e sponsor collegati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m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Email, template e campagne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1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color w:val="71717A"/>
          <w:sz w:val="18"/>
        </w:rPr>
        <w:t>Storyboard - Report ed export CSV/XLSX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71717A"/>
        <w:sz w:val="16"/>
      </w:rPr>
      <w:t>Documento operativo - non contiene segreti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71717A"/>
        <w:sz w:val="18"/>
      </w:rPr>
      <w:t>PonteNext Management Portal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18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52" w:lineRule="auto"/>
      <w:ind w:left="259" w:right="259"/>
    </w:pPr>
    <w:rPr>
      <w:rFonts w:ascii="Consolas" w:hAnsi="Consolas"/>
      <w:color w:val="37415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