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80" w:before="80"/>
        <w:jc w:val="left"/>
      </w:pPr>
      <w:r>
        <w:rPr>
          <w:rFonts w:ascii="Arial" w:cs="Arial" w:eastAsia="Arial" w:hAnsi="Arial"/>
          <w:b/>
          <w:bCs/>
          <w:i w:val="false"/>
          <w:iCs w:val="false"/>
          <w:color w:val="2D5F8A"/>
          <w:sz w:val="20"/>
          <w:szCs w:val="20"/>
        </w:rPr>
        <w:t xml:space="preserve">PRODUCT REQUIREMENTS DOCUMENT</w:t>
      </w:r>
    </w:p>
    <w:p>
      <w:pPr>
        <w:pBdr>
          <w:bottom w:val="single" w:color="2D5F8A" w:sz="6" w:space="8"/>
        </w:pBdr>
        <w:spacing w:after="300"/>
        <w:jc w:val="left"/>
      </w:pPr>
      <w:r>
        <w:rPr>
          <w:rFonts w:ascii="Arial" w:cs="Arial" w:eastAsia="Arial" w:hAnsi="Arial"/>
          <w:b/>
          <w:bCs/>
          <w:color w:val="1A1A1A"/>
          <w:sz w:val="56"/>
          <w:szCs w:val="56"/>
        </w:rPr>
        <w:t xml:space="preserve">LeadForge</w:t>
      </w:r>
    </w:p>
    <w:p>
      <w:pPr>
        <w:spacing w:after="80" w:before="80"/>
        <w:jc w:val="left"/>
      </w:pPr>
      <w:r>
        <w:rPr>
          <w:rFonts w:ascii="Arial" w:cs="Arial" w:eastAsia="Arial" w:hAnsi="Arial"/>
          <w:b w:val="false"/>
          <w:bCs w:val="false"/>
          <w:i w:val="false"/>
          <w:iCs w:val="false"/>
          <w:color w:val="666666"/>
          <w:sz w:val="20"/>
          <w:szCs w:val="20"/>
        </w:rPr>
        <w:t xml:space="preserve">Local Small Business Lead Generation, Scoring, Acquisition &amp; Outreach Pipeline</w:t>
      </w:r>
    </w:p>
    <w:p>
      <w:pPr>
        <w:spacing w:before="600"/>
      </w:pPr>
    </w:p>
    <w:p>
      <w:pPr>
        <w:spacing w:after="80" w:before="80"/>
      </w:pPr>
      <w:r>
        <w:rPr>
          <w:rFonts w:ascii="Arial" w:cs="Arial" w:eastAsia="Arial" w:hAnsi="Arial"/>
          <w:color w:val="999999"/>
          <w:sz w:val="20"/>
          <w:szCs w:val="20"/>
        </w:rPr>
        <w:t xml:space="preserve">Author: </w:t>
      </w:r>
      <w:r>
        <w:rPr>
          <w:rFonts w:ascii="Arial" w:cs="Arial" w:eastAsia="Arial" w:hAnsi="Arial"/>
          <w:color w:val="333333"/>
          <w:sz w:val="20"/>
          <w:szCs w:val="20"/>
        </w:rPr>
        <w:t xml:space="preserve">Courtney Richardson</w:t>
      </w:r>
    </w:p>
    <w:p>
      <w:pPr>
        <w:spacing w:after="80" w:before="80"/>
      </w:pPr>
      <w:r>
        <w:rPr>
          <w:rFonts w:ascii="Arial" w:cs="Arial" w:eastAsia="Arial" w:hAnsi="Arial"/>
          <w:color w:val="999999"/>
          <w:sz w:val="20"/>
          <w:szCs w:val="20"/>
        </w:rPr>
        <w:t xml:space="preserve">Organization: </w:t>
      </w:r>
      <w:r>
        <w:rPr>
          <w:rFonts w:ascii="Arial" w:cs="Arial" w:eastAsia="Arial" w:hAnsi="Arial"/>
          <w:color w:val="333333"/>
          <w:sz w:val="20"/>
          <w:szCs w:val="20"/>
        </w:rPr>
        <w:t xml:space="preserve">Tied Tight Recording</w:t>
      </w:r>
    </w:p>
    <w:p>
      <w:pPr>
        <w:spacing w:after="80" w:before="80"/>
      </w:pPr>
      <w:r>
        <w:rPr>
          <w:rFonts w:ascii="Arial" w:cs="Arial" w:eastAsia="Arial" w:hAnsi="Arial"/>
          <w:color w:val="999999"/>
          <w:sz w:val="20"/>
          <w:szCs w:val="20"/>
        </w:rPr>
        <w:t xml:space="preserve">Version: </w:t>
      </w:r>
      <w:r>
        <w:rPr>
          <w:rFonts w:ascii="Arial" w:cs="Arial" w:eastAsia="Arial" w:hAnsi="Arial"/>
          <w:color w:val="333333"/>
          <w:sz w:val="20"/>
          <w:szCs w:val="20"/>
        </w:rPr>
        <w:t xml:space="preserve">2.2 — Draft</w:t>
      </w:r>
    </w:p>
    <w:p>
      <w:pPr>
        <w:spacing w:after="80" w:before="80"/>
      </w:pPr>
      <w:r>
        <w:rPr>
          <w:rFonts w:ascii="Arial" w:cs="Arial" w:eastAsia="Arial" w:hAnsi="Arial"/>
          <w:color w:val="999999"/>
          <w:sz w:val="20"/>
          <w:szCs w:val="20"/>
        </w:rPr>
        <w:t xml:space="preserve">Date: </w:t>
      </w:r>
      <w:r>
        <w:rPr>
          <w:rFonts w:ascii="Arial" w:cs="Arial" w:eastAsia="Arial" w:hAnsi="Arial"/>
          <w:color w:val="333333"/>
          <w:sz w:val="20"/>
          <w:szCs w:val="20"/>
        </w:rPr>
        <w:t xml:space="preserve">March 2026</w:t>
      </w:r>
    </w:p>
    <w:p>
      <w:pPr>
        <w:spacing w:after="80" w:before="80"/>
      </w:pPr>
      <w:r>
        <w:rPr>
          <w:rFonts w:ascii="Arial" w:cs="Arial" w:eastAsia="Arial" w:hAnsi="Arial"/>
          <w:color w:val="999999"/>
          <w:sz w:val="20"/>
          <w:szCs w:val="20"/>
        </w:rPr>
        <w:t xml:space="preserve">Classification: </w:t>
      </w:r>
      <w:r>
        <w:rPr>
          <w:rFonts w:ascii="Arial" w:cs="Arial" w:eastAsia="Arial" w:hAnsi="Arial"/>
          <w:color w:val="333333"/>
          <w:sz w:val="20"/>
          <w:szCs w:val="20"/>
        </w:rPr>
        <w:t xml:space="preserve">Internal</w:t>
      </w:r>
    </w:p>
    <w:p>
      <w:pPr>
        <w:sectPr>
          <w:pgSz w:w="12240" w:h="15840" w:orient="portrait"/>
          <w:pgMar w:top="1440" w:right="1440" w:bottom="1440" w:left="1440" w:header="708" w:footer="708" w:gutter="0"/>
          <w:pgNumType/>
          <w:docGrid w:linePitch="360"/>
        </w:sectPr>
      </w:pPr>
    </w:p>
    <w:p>
      <w:pPr>
        <w:pStyle w:val="Heading1"/>
        <w:pBdr>
          <w:bottom w:val="single" w:color="2D5F8A" w:sz="4" w:space="6"/>
        </w:pBdr>
        <w:spacing w:after="200" w:before="360"/>
      </w:pPr>
      <w:r>
        <w:rPr>
          <w:rFonts w:ascii="Arial" w:cs="Arial" w:eastAsia="Arial" w:hAnsi="Arial"/>
          <w:b/>
          <w:bCs/>
          <w:color w:val="1A1A1A"/>
          <w:sz w:val="28"/>
          <w:szCs w:val="28"/>
        </w:rPr>
        <w:t xml:space="preserve">1. Product Overview</w:t>
      </w:r>
    </w:p>
    <w:p>
      <w:pPr>
        <w:pStyle w:val="Heading2"/>
        <w:spacing w:after="160" w:before="280"/>
      </w:pPr>
      <w:r>
        <w:rPr>
          <w:rFonts w:ascii="Arial" w:cs="Arial" w:eastAsia="Arial" w:hAnsi="Arial"/>
          <w:b/>
          <w:bCs/>
          <w:color w:val="2D5F8A"/>
          <w:sz w:val="24"/>
          <w:szCs w:val="24"/>
        </w:rPr>
        <w:t xml:space="preserve">1.1 Problem Statement</w:t>
      </w:r>
    </w:p>
    <w:p>
      <w:pPr>
        <w:spacing w:after="80" w:before="80"/>
        <w:jc w:val="left"/>
      </w:pPr>
      <w:r>
        <w:rPr>
          <w:rFonts w:ascii="Arial" w:cs="Arial" w:eastAsia="Arial" w:hAnsi="Arial"/>
          <w:b w:val="false"/>
          <w:bCs w:val="false"/>
          <w:i w:val="false"/>
          <w:iCs w:val="false"/>
          <w:color w:val="333333"/>
          <w:sz w:val="20"/>
          <w:szCs w:val="20"/>
        </w:rPr>
        <w:t xml:space="preserve">Hyper-local small businesses in underserved commercial niches — septic services, tire shops, barbershops, towing companies, nail salons, and similar trades — represent a significant but underexploited market for digital marketing services. These businesses share three structural characteristics that make them simultaneously high-value targets and difficult to reach via conventional channels:</w:t>
      </w:r>
    </w:p>
    <w:p>
      <w:pPr>
        <w:pStyle w:val="ListParagraph"/>
        <w:numPr>
          <w:ilvl w:val="0"/>
          <w:numId w:val="2"/>
        </w:numPr>
        <w:spacing w:after="40" w:before="40"/>
      </w:pPr>
      <w:r>
        <w:rPr>
          <w:rFonts w:ascii="Arial" w:cs="Arial" w:eastAsia="Arial" w:hAnsi="Arial"/>
          <w:color w:val="333333"/>
          <w:sz w:val="20"/>
          <w:szCs w:val="20"/>
        </w:rPr>
        <w:t xml:space="preserve">They operate with minimal or nonexistent digital infrastructure, meaning standard inbound marketing funnels do not reach them.</w:t>
      </w:r>
    </w:p>
    <w:p>
      <w:pPr>
        <w:pStyle w:val="ListParagraph"/>
        <w:numPr>
          <w:ilvl w:val="0"/>
          <w:numId w:val="2"/>
        </w:numPr>
        <w:spacing w:after="40" w:before="40"/>
      </w:pPr>
      <w:r>
        <w:rPr>
          <w:rFonts w:ascii="Arial" w:cs="Arial" w:eastAsia="Arial" w:hAnsi="Arial"/>
          <w:color w:val="333333"/>
          <w:sz w:val="20"/>
          <w:szCs w:val="20"/>
        </w:rPr>
        <w:t xml:space="preserve">They are typically owner-operated with constrained time and attention, making cold outreach the only viable acquisition channel.</w:t>
      </w:r>
    </w:p>
    <w:p>
      <w:pPr>
        <w:pStyle w:val="ListParagraph"/>
        <w:numPr>
          <w:ilvl w:val="0"/>
          <w:numId w:val="2"/>
        </w:numPr>
        <w:spacing w:after="40" w:before="40"/>
      </w:pPr>
      <w:r>
        <w:rPr>
          <w:rFonts w:ascii="Arial" w:cs="Arial" w:eastAsia="Arial" w:hAnsi="Arial"/>
          <w:color w:val="333333"/>
          <w:sz w:val="20"/>
          <w:szCs w:val="20"/>
        </w:rPr>
        <w:t xml:space="preserve">Their revenue models are geographically bound, which means marketing ROI is unusually legible — if you can demonstrate local visibility, the value proposition is self-evident.</w:t>
      </w:r>
    </w:p>
    <w:p>
      <w:pPr>
        <w:spacing w:after="80" w:before="80"/>
        <w:jc w:val="left"/>
      </w:pPr>
      <w:r>
        <w:rPr>
          <w:rFonts w:ascii="Arial" w:cs="Arial" w:eastAsia="Arial" w:hAnsi="Arial"/>
          <w:b w:val="false"/>
          <w:bCs w:val="false"/>
          <w:i w:val="false"/>
          <w:iCs w:val="false"/>
          <w:color w:val="333333"/>
          <w:sz w:val="20"/>
          <w:szCs w:val="20"/>
        </w:rPr>
        <w:t xml:space="preserve">The challenge is systematic identification, qualification, prioritization, and automated initial contact of these businesses at a granular geographic level (Chicago zip codes) with enough signal fidelity to predict acquisition likelihood and appropriate price points before committing human time.</w:t>
      </w:r>
    </w:p>
    <w:p>
      <w:pPr>
        <w:pStyle w:val="Heading2"/>
        <w:spacing w:after="160" w:before="280"/>
      </w:pPr>
      <w:r>
        <w:rPr>
          <w:rFonts w:ascii="Arial" w:cs="Arial" w:eastAsia="Arial" w:hAnsi="Arial"/>
          <w:b/>
          <w:bCs/>
          <w:color w:val="2D5F8A"/>
          <w:sz w:val="24"/>
          <w:szCs w:val="24"/>
        </w:rPr>
        <w:t xml:space="preserve">1.2 Product Definition</w:t>
      </w:r>
    </w:p>
    <w:p>
      <w:pPr>
        <w:spacing w:after="80" w:before="80"/>
        <w:jc w:val="left"/>
      </w:pPr>
      <w:r>
        <w:rPr>
          <w:rFonts w:ascii="Arial" w:cs="Arial" w:eastAsia="Arial" w:hAnsi="Arial"/>
          <w:b w:val="false"/>
          <w:bCs w:val="false"/>
          <w:i w:val="false"/>
          <w:iCs w:val="false"/>
          <w:color w:val="333333"/>
          <w:sz w:val="20"/>
          <w:szCs w:val="20"/>
        </w:rPr>
        <w:t xml:space="preserve">LeadForge is an internal application that automates the full lifecycle from lead identification to first contact. It uses LLM-powered scraping to extract and normalize business data from public sources, applies a composite scoring model to predict acquisition probability and price sensitivity, deploys an AI voice agent to initiate cold outreach and schedule meetings, captures conversation sentiment to refine scoring, and manages the full pipeline through an integrated lightweight CRM. Leads are organized by Chicago zip code and niche vertical.</w:t>
      </w:r>
    </w:p>
    <w:p>
      <w:pPr>
        <w:pStyle w:val="Heading2"/>
        <w:spacing w:after="160" w:before="280"/>
      </w:pPr>
      <w:r>
        <w:rPr>
          <w:rFonts w:ascii="Arial" w:cs="Arial" w:eastAsia="Arial" w:hAnsi="Arial"/>
          <w:b/>
          <w:bCs/>
          <w:color w:val="2D5F8A"/>
          <w:sz w:val="24"/>
          <w:szCs w:val="24"/>
        </w:rPr>
        <w:t xml:space="preserve">1.3 Target Verticals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Vertical</w:t>
            </w:r>
          </w:p>
        </w:tc>
        <w:tc>
          <w:tcPr>
            <w:tcW w:type="dxa" w:w="22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License Type</w:t>
            </w:r>
          </w:p>
        </w:tc>
        <w:tc>
          <w:tcPr>
            <w:tcW w:type="dxa" w:w="22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Revenue Proxy</w:t>
            </w:r>
          </w:p>
        </w:tc>
        <w:tc>
          <w:tcPr>
            <w:tcW w:type="dxa" w:w="276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Digital Maturity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Septic tank services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IL Plumbing License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Service call volume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Very low</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Used auto parts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Chicago Business License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Inventory turnover</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Small meat markets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IL Food License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Foot traffic / reviews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Local bars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IL Liquor License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Review volume / events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Nail salons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IL Cosmetology License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Review volume / photos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Beauty shops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IL Cosmetology License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Review volume / social</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Smoke shops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Chicago Tobacco License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Foot traffic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Beauty supply stores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Chicago Business License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Foot traffic</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Mobile mechanics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None required (IL)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Service area radius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Very low</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Tire shops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Chicago Business License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Review volume</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Lawn services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Pesticide Applicator (if appl.)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Seasonal demand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Towing companies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IL Relocation Towing License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Police/AAA contracts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Barbershops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IL Barber License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Review volume / chair count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Veterinarians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IL Veterinary License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Review volume / specialization</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Security services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IL PERC Card / Agency License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Contract size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Low-medium</w:t>
            </w:r>
          </w:p>
        </w:tc>
      </w:tr>
    </w:tbl>
    <w:p>
      <w:r>
        <w:br w:type="page"/>
      </w:r>
    </w:p>
    <w:p>
      <w:pPr>
        <w:pStyle w:val="Heading1"/>
        <w:pBdr>
          <w:bottom w:val="single" w:color="2D5F8A" w:sz="4" w:space="6"/>
        </w:pBdr>
        <w:spacing w:after="200" w:before="360"/>
      </w:pPr>
      <w:r>
        <w:rPr>
          <w:rFonts w:ascii="Arial" w:cs="Arial" w:eastAsia="Arial" w:hAnsi="Arial"/>
          <w:b/>
          <w:bCs/>
          <w:color w:val="1A1A1A"/>
          <w:sz w:val="28"/>
          <w:szCs w:val="28"/>
        </w:rPr>
        <w:t xml:space="preserve">2. Data Architecture</w:t>
      </w:r>
    </w:p>
    <w:p>
      <w:pPr>
        <w:pStyle w:val="Heading2"/>
        <w:spacing w:after="160" w:before="280"/>
      </w:pPr>
      <w:r>
        <w:rPr>
          <w:rFonts w:ascii="Arial" w:cs="Arial" w:eastAsia="Arial" w:hAnsi="Arial"/>
          <w:b/>
          <w:bCs/>
          <w:color w:val="2D5F8A"/>
          <w:sz w:val="24"/>
          <w:szCs w:val="24"/>
        </w:rPr>
        <w:t xml:space="preserve">2.1 Primary Data Sources</w:t>
      </w:r>
    </w:p>
    <w:p>
      <w:pPr>
        <w:spacing w:after="80" w:before="80"/>
        <w:jc w:val="left"/>
      </w:pPr>
      <w:r>
        <w:rPr>
          <w:rFonts w:ascii="Arial" w:cs="Arial" w:eastAsia="Arial" w:hAnsi="Arial"/>
          <w:b w:val="false"/>
          <w:bCs w:val="false"/>
          <w:i w:val="false"/>
          <w:iCs w:val="false"/>
          <w:color w:val="333333"/>
          <w:sz w:val="20"/>
          <w:szCs w:val="20"/>
        </w:rPr>
        <w:t xml:space="preserve">All data collection is restricted to publicly accessible sources. No purchased data, no scraping behind authentication walls (except where session cookies are used for public-facing content), no violation of platform terms that explicitly prohibit scraping.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w:tc>
          <w:tcPr>
            <w:tcW w:type="dxa" w:w="25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30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Data Available</w:t>
            </w:r>
          </w:p>
        </w:tc>
        <w:tc>
          <w:tcPr>
            <w:tcW w:type="dxa" w:w="20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Access Method</w:t>
            </w:r>
          </w:p>
        </w:tc>
        <w:tc>
          <w:tcPr>
            <w:tcW w:type="dxa" w:w="186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Chicago Data Portal (data.cityofchicago.org)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Business licenses, food inspections, building permits, tobacco/liquor licenses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Socrata REST API</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Verified ✔ Free, no auth</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Google Places API</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Business name, address, phone, website, hours, reviews, rating, photos, place ID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REST API</w:t>
            </w:r>
          </w:p>
        </w:tc>
        <w:tc>
          <w:tcPr>
            <w:tcW w:type="dxa" w:w="1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Verified ✔ Free tier 1,000/day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Illinois DFPR License Lookup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Professional licenses (cosmetology, barber, veterinary, plumbing)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Web form — Scrapling headless automation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Verified ✔ Public, no API</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Illinois Secretary of State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Business registration, incorporation date, registered agent, status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Web form — Scrapling headless automation</w:t>
            </w:r>
          </w:p>
        </w:tc>
        <w:tc>
          <w:tcPr>
            <w:tcW w:type="dxa" w:w="1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Verified ✔ Public, no API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Yelp Fusion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Reviews, ratings, categories, price range, transaction types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REST API</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Verified ✔ Free tier 5,000/day</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US Census / ACS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Zip demographics: median income, population density, age distribution, housing</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Census Data API</w:t>
            </w:r>
          </w:p>
        </w:tc>
        <w:tc>
          <w:tcPr>
            <w:tcW w:type="dxa" w:w="1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Verified ✔ Free, unlimited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PageSpeed Insights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Website quality score, mobile usability, load 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REST API</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Verified ✔ Free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WHOIS / DNS lookup</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Domain registration date, registrar, SSL status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Various APIs</w:t>
            </w:r>
          </w:p>
        </w:tc>
        <w:tc>
          <w:tcPr>
            <w:tcW w:type="dxa" w:w="1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Verified ✔ Free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Google Ads Transparency Center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Active Google Ads by advertiser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Public search</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Verified ✔ Free</w:t>
            </w:r>
          </w:p>
        </w:tc>
      </w:tr>
    </w:tbl>
    <w:p>
      <w:pPr>
        <w:pStyle w:val="Heading2"/>
        <w:spacing w:after="160" w:before="280"/>
      </w:pPr>
      <w:r>
        <w:rPr>
          <w:rFonts w:ascii="Arial" w:cs="Arial" w:eastAsia="Arial" w:hAnsi="Arial"/>
          <w:b/>
          <w:bCs/>
          <w:color w:val="2D5F8A"/>
          <w:sz w:val="24"/>
          <w:szCs w:val="24"/>
        </w:rPr>
        <w:t xml:space="preserve">2.2 Supplemental Sources</w:t>
      </w:r>
    </w:p>
    <w:p>
      <w:pPr>
        <w:spacing w:after="80" w:before="80"/>
        <w:jc w:val="left"/>
      </w:pPr>
      <w:r>
        <w:rPr>
          <w:rFonts w:ascii="Arial" w:cs="Arial" w:eastAsia="Arial" w:hAnsi="Arial"/>
          <w:b w:val="false"/>
          <w:bCs w:val="false"/>
          <w:i w:val="false"/>
          <w:iCs w:val="false"/>
          <w:color w:val="333333"/>
          <w:sz w:val="20"/>
          <w:szCs w:val="20"/>
        </w:rPr>
        <w:t xml:space="preserve">Supplemental platform scraping defaults to custom Scrapling scrapers to minimize per-unit cost. Apify actors are reserved for Meta products (Instagram, Facebook, Threads) where anti-bot countermeasures make custom scrapers impractical to maintain. Nextdoor cookie refresh is handled by an automated rotation service (see Section 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800"/>
        <w:gridCol w:w="2260"/>
      </w:tblGrid>
      <w:tr>
        <w:tc>
          <w:tcPr>
            <w:tcW w:type="dxa" w:w="18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25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Scraping Method</w:t>
            </w:r>
          </w:p>
        </w:tc>
        <w:tc>
          <w:tcPr>
            <w:tcW w:type="dxa" w:w="28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Data Available</w:t>
            </w:r>
          </w:p>
        </w:tc>
        <w:tc>
          <w:tcPr>
            <w:tcW w:type="dxa" w:w="226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Cost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Instagram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Apify: apify/instagram-scraper + Profile Scraper + Location Scraper + Hashtag Scraper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Profile existence, follower count, post frequency, bio, business status, posts tagged at business location, posts using business name as hashtag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~$2.30/1,000 items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Facebook Pages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Apify: Facebook Posts Scraper + Facebook Search Scraper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Page existence, post frequency, engagement metrics, last post date, customer check-ins, posts tagging business page, location-tagged UGC</w:t>
            </w:r>
          </w:p>
        </w:tc>
        <w:tc>
          <w:tcPr>
            <w:tcW w:type="dxa" w:w="2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Pay-per-compute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Threads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Apify: Meta Ads Library Scraper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Active ads across FB/IG/Threads/WhatsApp</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Pay-per-compute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Meta Ad Library</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Apify: Facebook Ads Library Scraper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All active ads by business name across Meta platforms</w:t>
            </w:r>
          </w:p>
        </w:tc>
        <w:tc>
          <w:tcPr>
            <w:tcW w:type="dxa" w:w="2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Pay-per-compute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Nextdoor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Scrapling StealthyFetcher + automated cookie refresh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Business ratings, recommendations, neighborhood, profile URLs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Free (infrastructure only)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Craigslist (Chicago services)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Scrapling Fetcher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Service listings, contact info, categories</w:t>
            </w:r>
          </w:p>
        </w:tc>
        <w:tc>
          <w:tcPr>
            <w:tcW w:type="dxa" w:w="2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(infrastructure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Thumbtack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Scrapling StealthyFetcher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Business name, location, rating, hires count, credentials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Free (infrastructure only)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Angi / Angie’s List</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Scrapling StealthyFetcher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Company details, ratings, reviews, contact info</w:t>
            </w:r>
          </w:p>
        </w:tc>
        <w:tc>
          <w:tcPr>
            <w:tcW w:type="dxa" w:w="2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Free (infrastructure only)</w:t>
            </w:r>
          </w:p>
        </w:tc>
      </w:tr>
    </w:tbl>
    <w:p>
      <w:pPr>
        <w:spacing w:after="120" w:before="200"/>
      </w:pPr>
      <w:r>
        <w:rPr>
          <w:rFonts w:ascii="Arial" w:cs="Arial" w:eastAsia="Arial" w:hAnsi="Arial"/>
          <w:b/>
          <w:bCs/>
          <w:color w:val="333333"/>
          <w:sz w:val="22"/>
          <w:szCs w:val="22"/>
        </w:rPr>
        <w:t xml:space="preserve">Supplemental Source Rationale</w:t>
      </w:r>
    </w:p>
    <w:p>
      <w:pPr>
        <w:spacing w:after="80" w:before="80"/>
        <w:jc w:val="left"/>
      </w:pPr>
      <w:r>
        <w:rPr>
          <w:rFonts w:ascii="Arial" w:cs="Arial" w:eastAsia="Arial" w:hAnsi="Arial"/>
          <w:b w:val="false"/>
          <w:bCs w:val="false"/>
          <w:i w:val="false"/>
          <w:iCs w:val="false"/>
          <w:color w:val="333333"/>
          <w:sz w:val="20"/>
          <w:szCs w:val="20"/>
        </w:rPr>
        <w:t xml:space="preserve">The primary sources (Chicago Data Portal + Google Places + Yelp) cover approximately 70–80% of businesses with any digital presence. The supplemental sources serve two distinct functions:</w:t>
      </w:r>
    </w:p>
    <w:p>
      <w:pPr>
        <w:pStyle w:val="ListParagraph"/>
        <w:numPr>
          <w:ilvl w:val="0"/>
          <w:numId w:val="2"/>
        </w:numPr>
        <w:spacing w:after="40" w:before="40"/>
      </w:pPr>
      <w:r>
        <w:rPr>
          <w:rFonts w:ascii="Arial" w:cs="Arial" w:eastAsia="Arial" w:hAnsi="Arial"/>
          <w:color w:val="333333"/>
          <w:sz w:val="20"/>
          <w:szCs w:val="20"/>
        </w:rPr>
        <w:t xml:space="preserve">Gap filling for low-digital-maturity niches: Mobile mechanics, lawn services, and independent towing companies frequently advertise on Craigslist and Thumbtack rather than maintaining Google Business Profiles. These platforms are the only discovery mechanism for the hardest-to-find leads.</w:t>
      </w:r>
    </w:p>
    <w:p>
      <w:pPr>
        <w:pStyle w:val="ListParagraph"/>
        <w:numPr>
          <w:ilvl w:val="0"/>
          <w:numId w:val="2"/>
        </w:numPr>
        <w:spacing w:after="40" w:before="40"/>
      </w:pPr>
      <w:r>
        <w:rPr>
          <w:rFonts w:ascii="Arial" w:cs="Arial" w:eastAsia="Arial" w:hAnsi="Arial"/>
          <w:color w:val="333333"/>
          <w:sz w:val="20"/>
          <w:szCs w:val="20"/>
        </w:rPr>
        <w:t xml:space="preserve">Enrichment for scoring precision: Nextdoor recommendations provide a hyperlocal trust signal that Google reviews do not capture. Angi/Thumbtack hire counts serve as direct revenue proxies. Instagram/Facebook activity data directly feeds the digital deficit score.</w:t>
      </w:r>
    </w:p>
    <w:p>
      <w:pPr>
        <w:pStyle w:val="ListParagraph"/>
        <w:numPr>
          <w:ilvl w:val="0"/>
          <w:numId w:val="2"/>
        </w:numPr>
        <w:spacing w:after="40" w:before="40"/>
      </w:pPr>
      <w:r>
        <w:rPr>
          <w:rFonts w:ascii="Arial" w:cs="Arial" w:eastAsia="Arial" w:hAnsi="Arial"/>
          <w:color w:val="333333"/>
          <w:sz w:val="20"/>
          <w:szCs w:val="20"/>
        </w:rPr>
        <w:t xml:space="preserve">Cost rationale: Custom Scrapling scrapers for Craigslist, Thumbtack, Angi, and Nextdoor eliminate per-item Apify charges entirely. At projected volumes of 2,000–5,000 leads/month, this saves an estimated $150–400/month versus routing everything through Apify. Meta platforms remain on Apify because Instagram and Facebook deploy sophisticated bot detection that would require continuous scraper maintenance exceeding the Apify cost.</w:t>
      </w:r>
    </w:p>
    <w:p>
      <w:pPr>
        <w:pStyle w:val="Heading2"/>
        <w:spacing w:after="160" w:before="280"/>
      </w:pPr>
      <w:r>
        <w:rPr>
          <w:rFonts w:ascii="Arial" w:cs="Arial" w:eastAsia="Arial" w:hAnsi="Arial"/>
          <w:b/>
          <w:bCs/>
          <w:color w:val="2D5F8A"/>
          <w:sz w:val="24"/>
          <w:szCs w:val="24"/>
        </w:rPr>
        <w:t xml:space="preserve">2.3 Data Model</w:t>
      </w:r>
    </w:p>
    <w:p>
      <w:pPr>
        <w:spacing w:after="80" w:before="80"/>
        <w:jc w:val="left"/>
      </w:pPr>
      <w:r>
        <w:rPr>
          <w:rFonts w:ascii="Arial" w:cs="Arial" w:eastAsia="Arial" w:hAnsi="Arial"/>
          <w:b w:val="false"/>
          <w:bCs w:val="false"/>
          <w:i w:val="false"/>
          <w:iCs w:val="false"/>
          <w:color w:val="333333"/>
          <w:sz w:val="20"/>
          <w:szCs w:val="20"/>
        </w:rPr>
        <w:t xml:space="preserve">The core data model consists of five primary entities: Business, Digital Presence, Competitive Context, Lead Score, and Outreach Record.</w:t>
      </w:r>
    </w:p>
    <w:p>
      <w:pPr>
        <w:spacing w:after="120" w:before="200"/>
      </w:pPr>
      <w:r>
        <w:rPr>
          <w:rFonts w:ascii="Arial" w:cs="Arial" w:eastAsia="Arial" w:hAnsi="Arial"/>
          <w:b/>
          <w:bCs/>
          <w:color w:val="333333"/>
          <w:sz w:val="22"/>
          <w:szCs w:val="22"/>
        </w:rPr>
        <w:t xml:space="preserve">Business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86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business_id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Generated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name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Google Places / Chicago Data Portal (LLM-normalized)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address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Google Places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zip_code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Google Places / Chicago Data Portal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phone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Google Places / Scrapling enrichment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email</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Website scrape / LLM extraction / Scrapling enrichment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owner_name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IL SOS / DFPR / website / LLM extraction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niche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Classified by license type + Google category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license_number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Chicago Data Portal / DFPR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license_status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Chicago Data Portal / DFPR (Active/Expired/Revoked/Unknown)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license_issue_date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Date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Chicago Data Portal / DFPR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incorporation_date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Date</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IL Secretary of State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employee_count_est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Integer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LinkedIn / LLM estimate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estimated_monthly_revenue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Float</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Derived (see Section 3.3)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google_place_id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String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Google Places API</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thumbtack_hires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Integer</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Scrapling / Thumbtack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nextdoor_recommendations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Integer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Scrapling / Nextdoor</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ig_location_tag_count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Integer</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Apify / Instagram Location Scraper — posts tagged at business location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ig_hashtag_mention_count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Integer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Apify / Instagram Hashtag Scraper — posts using business name hashtag</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fb_checkin_count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Integer</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Apify / Facebook Search Scraper — customer check-ins at business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fb_ugc_tag_count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Integer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Apify / Facebook Search Scraper — posts tagging business page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total_customer_ugc</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Integer</w:t>
            </w:r>
          </w:p>
        </w:tc>
        <w:tc>
          <w:tcPr>
            <w:tcW w:type="dxa" w:w="4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Derived: sum of ig_location_tag + ig_hashtag_mention + fb_checkin + fb_ugc_tag</w:t>
            </w:r>
          </w:p>
        </w:tc>
      </w:tr>
    </w:tbl>
    <w:p>
      <w:pPr>
        <w:spacing w:after="120" w:before="200"/>
      </w:pPr>
      <w:r>
        <w:rPr>
          <w:rFonts w:ascii="Arial" w:cs="Arial" w:eastAsia="Arial" w:hAnsi="Arial"/>
          <w:b/>
          <w:bCs/>
          <w:color w:val="333333"/>
          <w:sz w:val="22"/>
          <w:szCs w:val="22"/>
        </w:rPr>
        <w:t xml:space="preserve">Outreach Record Entity (CRM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2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66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outreach_id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UUID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Primary key</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business_id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FK → Business</w:t>
            </w:r>
          </w:p>
        </w:tc>
        <w:tc>
          <w:tcPr>
            <w:tcW w:type="dxa" w:w="4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Link to lead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Pipeline stage (see Section 6)</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first_contact_date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Datetime</w:t>
            </w:r>
          </w:p>
        </w:tc>
        <w:tc>
          <w:tcPr>
            <w:tcW w:type="dxa" w:w="4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When AI agent initiated first call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contact_method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Voice / Email / SMS / In-Person</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call_transcript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Text</w:t>
            </w:r>
          </w:p>
        </w:tc>
        <w:tc>
          <w:tcPr>
            <w:tcW w:type="dxa" w:w="4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Full transcript from voice agent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call_sentiment_score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Float (-1 to 1)</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LLM-derived sentiment from transcript</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call_disposition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4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Answered/Voicemail/No Answer/Wrong Number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meeting_scheduled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Boolean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Whether a meeting was booked</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meeting_type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Enum</w:t>
            </w:r>
          </w:p>
        </w:tc>
        <w:tc>
          <w:tcPr>
            <w:tcW w:type="dxa" w:w="4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Virtual / In-Person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meeting_datetime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Datetime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Scheduled meeting time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follow_up_count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Integer</w:t>
            </w:r>
          </w:p>
        </w:tc>
        <w:tc>
          <w:tcPr>
            <w:tcW w:type="dxa" w:w="4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Number of follow-up attempts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last_contact_date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Datetime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Most recent outreach touch</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assigned_to</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String</w:t>
            </w:r>
          </w:p>
        </w:tc>
        <w:tc>
          <w:tcPr>
            <w:tcW w:type="dxa" w:w="4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Human team member for handoff</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Text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Free-form internal notes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proposal_amount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Float</w:t>
            </w:r>
          </w:p>
        </w:tc>
        <w:tc>
          <w:tcPr>
            <w:tcW w:type="dxa" w:w="4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Proposed monthly retainer if sent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contract_amount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Float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Actual signed amount if won</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lost_reason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String</w:t>
            </w:r>
          </w:p>
        </w:tc>
        <w:tc>
          <w:tcPr>
            <w:tcW w:type="dxa" w:w="4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Reason for lost/disqualified status</w:t>
            </w:r>
          </w:p>
        </w:tc>
      </w:tr>
    </w:tbl>
    <w:p>
      <w:r>
        <w:br w:type="page"/>
      </w:r>
    </w:p>
    <w:p>
      <w:pPr>
        <w:pStyle w:val="Heading1"/>
        <w:pBdr>
          <w:bottom w:val="single" w:color="2D5F8A" w:sz="4" w:space="6"/>
        </w:pBdr>
        <w:spacing w:after="200" w:before="360"/>
      </w:pPr>
      <w:r>
        <w:rPr>
          <w:rFonts w:ascii="Arial" w:cs="Arial" w:eastAsia="Arial" w:hAnsi="Arial"/>
          <w:b/>
          <w:bCs/>
          <w:color w:val="1A1A1A"/>
          <w:sz w:val="28"/>
          <w:szCs w:val="28"/>
        </w:rPr>
        <w:t xml:space="preserve">3. Lead Scoring Model</w:t>
      </w:r>
    </w:p>
    <w:p>
      <w:pPr>
        <w:pStyle w:val="Heading2"/>
        <w:spacing w:after="160" w:before="280"/>
      </w:pPr>
      <w:r>
        <w:rPr>
          <w:rFonts w:ascii="Arial" w:cs="Arial" w:eastAsia="Arial" w:hAnsi="Arial"/>
          <w:b/>
          <w:bCs/>
          <w:color w:val="2D5F8A"/>
          <w:sz w:val="24"/>
          <w:szCs w:val="24"/>
        </w:rPr>
        <w:t xml:space="preserve">3.1 Scoring Philosophy</w:t>
      </w:r>
    </w:p>
    <w:p>
      <w:pPr>
        <w:spacing w:after="80" w:before="80"/>
        <w:jc w:val="left"/>
      </w:pPr>
      <w:r>
        <w:rPr>
          <w:rFonts w:ascii="Arial" w:cs="Arial" w:eastAsia="Arial" w:hAnsi="Arial"/>
          <w:b w:val="false"/>
          <w:bCs w:val="false"/>
          <w:i w:val="false"/>
          <w:iCs w:val="false"/>
          <w:color w:val="333333"/>
          <w:sz w:val="20"/>
          <w:szCs w:val="20"/>
        </w:rPr>
        <w:t xml:space="preserve">The fundamental inversion: for these verticals, digital absence is the primary positive signal. Standard B2B lead scoring treats website visits, content downloads, and social engagement as indicators of purchase intent. That framework is irrelevant here. The businesses most likely to buy marketing services are the ones with the weakest digital footprints — they have the most to gain and the fewest existing vendor relationships blocking the sale.</w:t>
      </w:r>
    </w:p>
    <w:p>
      <w:pPr>
        <w:spacing w:after="80" w:before="80"/>
        <w:jc w:val="left"/>
      </w:pPr>
      <w:r>
        <w:rPr>
          <w:rFonts w:ascii="Arial" w:cs="Arial" w:eastAsia="Arial" w:hAnsi="Arial"/>
          <w:b w:val="false"/>
          <w:bCs w:val="false"/>
          <w:i w:val="false"/>
          <w:iCs w:val="false"/>
          <w:color w:val="333333"/>
          <w:sz w:val="20"/>
          <w:szCs w:val="20"/>
        </w:rPr>
        <w:t xml:space="preserve">The model produces two outputs: Acquisition Likelihood Score (0–100) predicting probability of closing, and Price Tier (1–3) predicting appropriate service level and price point. After voice outreach begins, a third signal — Call Sentiment Score — feeds back into the composite to adjust priority in real time.</w:t>
      </w:r>
    </w:p>
    <w:p>
      <w:pPr>
        <w:pStyle w:val="Heading2"/>
        <w:spacing w:after="160" w:before="280"/>
      </w:pPr>
      <w:r>
        <w:rPr>
          <w:rFonts w:ascii="Arial" w:cs="Arial" w:eastAsia="Arial" w:hAnsi="Arial"/>
          <w:b/>
          <w:bCs/>
          <w:color w:val="2D5F8A"/>
          <w:sz w:val="24"/>
          <w:szCs w:val="24"/>
        </w:rPr>
        <w:t xml:space="preserve">3.2 Acquisition Likelihood Score</w:t>
      </w:r>
    </w:p>
    <w:p>
      <w:pPr>
        <w:spacing w:after="120" w:before="200"/>
      </w:pPr>
      <w:r>
        <w:rPr>
          <w:rFonts w:ascii="Arial" w:cs="Arial" w:eastAsia="Arial" w:hAnsi="Arial"/>
          <w:b/>
          <w:bCs/>
          <w:color w:val="333333"/>
          <w:sz w:val="22"/>
          <w:szCs w:val="22"/>
        </w:rPr>
        <w:t xml:space="preserve">Digital Deficit Score (40% of total)</w:t>
      </w:r>
    </w:p>
    <w:p>
      <w:pPr>
        <w:spacing w:after="80" w:before="80"/>
        <w:jc w:val="left"/>
      </w:pPr>
      <w:r>
        <w:rPr>
          <w:rFonts w:ascii="Arial" w:cs="Arial" w:eastAsia="Arial" w:hAnsi="Arial"/>
          <w:b w:val="false"/>
          <w:bCs w:val="false"/>
          <w:i w:val="false"/>
          <w:iCs w:val="false"/>
          <w:color w:val="333333"/>
          <w:sz w:val="20"/>
          <w:szCs w:val="20"/>
        </w:rPr>
        <w:t xml:space="preserve">Measures the gap between current digital presence and minimum viable marketing infrastructure. Scored 0–100 where higher = greater deficit = greater need.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1500"/>
      </w:tblGrid>
      <w:tr>
        <w:tc>
          <w:tcPr>
            <w:tcW w:type="dxa" w:w="25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436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15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Points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 website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has_website = false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+30</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Website exists but poor quality</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website_quality_score &lt; 40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+20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No SSL certificate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has_ssl = false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+8</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No Google Business Profile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has_google_business_profile = false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+15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GBP incomplete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gbp_completeness_score &lt; 0.5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+10</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Zero Google reviews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google_review_count = 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Low review count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google_review_count &lt; 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No social media presence</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has_facebook_page = false AND has_instagram = false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+12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Dormant social media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fb_last_post_days_ago &gt; 90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+8</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Not running any paid ads</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no Google Ads AND no Meta Ads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+7</w:t>
            </w:r>
          </w:p>
        </w:tc>
      </w:tr>
    </w:tbl>
    <w:p>
      <w:pPr>
        <w:spacing w:after="120" w:before="200"/>
      </w:pPr>
      <w:r>
        <w:rPr>
          <w:rFonts w:ascii="Arial" w:cs="Arial" w:eastAsia="Arial" w:hAnsi="Arial"/>
          <w:b/>
          <w:bCs/>
          <w:color w:val="333333"/>
          <w:sz w:val="22"/>
          <w:szCs w:val="22"/>
        </w:rPr>
        <w:t xml:space="preserve">Business Viability Score (35% of total) — REVISED WEIGHTS</w:t>
      </w:r>
    </w:p>
    <w:p>
      <w:pPr>
        <w:spacing w:after="80" w:before="80"/>
        <w:jc w:val="left"/>
      </w:pPr>
      <w:r>
        <w:rPr>
          <w:rFonts w:ascii="Arial" w:cs="Arial" w:eastAsia="Arial" w:hAnsi="Arial"/>
          <w:b w:val="false"/>
          <w:bCs w:val="false"/>
          <w:i w:val="false"/>
          <w:iCs w:val="false"/>
          <w:color w:val="333333"/>
          <w:sz w:val="20"/>
          <w:szCs w:val="20"/>
        </w:rPr>
        <w:t xml:space="preserve">Validates that the business is operational, stable, and capable of paying for services. The v2 model deprioritizes license status as a gating mechanism. Many legitimate businesses in these niches operate without or between license renewals — the presence of sustained customer reviews and years of continuous operation are stronger viability signals than bureaucratic compliance status.</w:t>
      </w:r>
    </w:p>
    <w:p>
      <w:pPr>
        <w:spacing w:after="80" w:before="80"/>
        <w:jc w:val="left"/>
      </w:pPr>
      <w:r>
        <w:rPr>
          <w:rFonts w:ascii="Arial" w:cs="Arial" w:eastAsia="Arial" w:hAnsi="Arial"/>
          <w:b/>
          <w:bCs/>
          <w:i w:val="false"/>
          <w:iCs w:val="false"/>
          <w:color w:val="333333"/>
          <w:sz w:val="20"/>
          <w:szCs w:val="20"/>
        </w:rPr>
        <w:t xml:space="preserve">Key change from v1: An expired or absent license no longer automatically disqualifies a lead. It reduces the score, but reviews, ratings, and operational longevity dominate.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300"/>
        <w:gridCol w:w="3660"/>
      </w:tblGrid>
      <w:tr>
        <w:tc>
          <w:tcPr>
            <w:tcW w:type="dxa" w:w="22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22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13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Points</w:t>
            </w:r>
          </w:p>
        </w:tc>
        <w:tc>
          <w:tcPr>
            <w:tcW w:type="dxa" w:w="366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 operation 3+ years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incorporation_date &gt; 3 years ago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Longevity is the strongest viability signal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In operation 7+ years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incorporation_date &gt; 7 years ago</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+10 (additional)</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Survivor bias is informative here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Moderate review volume (10–50)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google_review_count between 10–50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+15</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Sustained review flow = sustained foot traffic</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High review volume (50+)</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google_review_count &gt; 50</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+20</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Strong revenue proxy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Rating above 4.0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google_avg_rating &gt;= 4.0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+15</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Quality signal; predicts retention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Rating 3.5–4.0</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google_avg_rating &gt;= 3.5</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+8</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Adequate quality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Positive review trajectory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review_velocity_30d &gt; 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+8</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Business is growing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Customer UGC: moderate (10–50 tags)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total_customer_ugc between 10–50</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+10</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Location tags and check-ins are the hardest foot traffic signal to fake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Customer UGC: high (50+ tags)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total_customer_ugc &gt; 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+15</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Strong organic customer engagement independent of business’s own activity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Active license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license_status = active</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+5</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Supplementary compliance indicator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Nextdoor recommendations &gt; 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nextdoor_recommendations &gt; 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Hyperlocal trust signal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Thumbtack hires &gt; 10</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thumbtack_hires &gt; 10</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+5</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Direct transaction evidence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Multiple employees estimated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employee_count_est &gt;= 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Revenue capacity indicator</w:t>
            </w:r>
          </w:p>
        </w:tc>
      </w:tr>
    </w:tbl>
    <w:p>
      <w:pPr>
        <w:spacing w:after="80" w:before="80"/>
        <w:jc w:val="left"/>
      </w:pPr>
      <w:r>
        <w:rPr>
          <w:rFonts w:ascii="Arial" w:cs="Arial" w:eastAsia="Arial" w:hAnsi="Arial"/>
          <w:b w:val="false"/>
          <w:bCs w:val="false"/>
          <w:i w:val="false"/>
          <w:iCs w:val="false"/>
          <w:color w:val="333333"/>
          <w:sz w:val="20"/>
          <w:szCs w:val="20"/>
        </w:rPr>
        <w:t xml:space="preserve">A business with zero reviews across all platforms AND no incorporation/license record AND no Craigslist/Thumbtack activity is deprioritized (viability floor = 0). This replaces the prior hard gate on license status.</w:t>
      </w:r>
    </w:p>
    <w:p>
      <w:pPr>
        <w:spacing w:after="120" w:before="200"/>
      </w:pPr>
      <w:r>
        <w:rPr>
          <w:rFonts w:ascii="Arial" w:cs="Arial" w:eastAsia="Arial" w:hAnsi="Arial"/>
          <w:b/>
          <w:bCs/>
          <w:color w:val="333333"/>
          <w:sz w:val="22"/>
          <w:szCs w:val="22"/>
        </w:rPr>
        <w:t xml:space="preserve">Competitive Pressure Score (25% of total)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4060"/>
        <w:gridCol w:w="1300"/>
      </w:tblGrid>
      <w:tr>
        <w:tc>
          <w:tcPr>
            <w:tcW w:type="dxa" w:w="30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406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13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Points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High competitor density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zip_niche_competitor_count &gt; 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+20</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Very high density</w:t>
            </w:r>
          </w:p>
        </w:tc>
        <w:tc>
          <w:tcPr>
            <w:tcW w:type="dxa" w:w="4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zip_niche_competitor_count &gt; 10</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+10 (additional)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Competitors have stronger digital presence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business digital score &lt; zip_niche_avg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+25</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Competitors running paid ads</w:t>
            </w:r>
          </w:p>
        </w:tc>
        <w:tc>
          <w:tcPr>
            <w:tcW w:type="dxa" w:w="4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competitor_ads_active_count &gt;= 2</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+15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High-income zip code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zip_median_household_income &gt; $65,000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+10</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High population density</w:t>
            </w:r>
          </w:p>
        </w:tc>
        <w:tc>
          <w:tcPr>
            <w:tcW w:type="dxa" w:w="4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zip_population_density &gt; 10,000/sq mi</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Competitor avg rating higher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google_avg_rating &lt; zip_niche_avg_rating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+10</w:t>
            </w:r>
          </w:p>
        </w:tc>
      </w:tr>
    </w:tbl>
    <w:p>
      <w:pPr>
        <w:spacing w:after="120" w:before="200"/>
      </w:pPr>
      <w:r>
        <w:rPr>
          <w:rFonts w:ascii="Arial" w:cs="Arial" w:eastAsia="Arial" w:hAnsi="Arial"/>
          <w:b/>
          <w:bCs/>
          <w:color w:val="333333"/>
          <w:sz w:val="22"/>
          <w:szCs w:val="22"/>
        </w:rPr>
        <w:t xml:space="preserve">Composite Score + Sentiment Feedback Loop</w:t>
      </w:r>
    </w:p>
    <w:p>
      <w:pPr>
        <w:spacing w:after="80" w:before="80"/>
        <w:jc w:val="left"/>
      </w:pPr>
      <w:r>
        <w:rPr>
          <w:rFonts w:ascii="Arial" w:cs="Arial" w:eastAsia="Arial" w:hAnsi="Arial"/>
          <w:b w:val="false"/>
          <w:bCs w:val="false"/>
          <w:i w:val="false"/>
          <w:iCs w:val="false"/>
          <w:color w:val="333333"/>
          <w:sz w:val="20"/>
          <w:szCs w:val="20"/>
        </w:rPr>
        <w:t xml:space="preserve">Base acquisition score = (digital_deficit * 0.40) + (viability * 0.35) + (competitive_pressure * 0.25)</w:t>
      </w:r>
    </w:p>
    <w:p>
      <w:pPr>
        <w:spacing w:after="80" w:before="80"/>
        <w:jc w:val="left"/>
      </w:pPr>
      <w:r>
        <w:rPr>
          <w:rFonts w:ascii="Arial" w:cs="Arial" w:eastAsia="Arial" w:hAnsi="Arial"/>
          <w:b w:val="false"/>
          <w:bCs w:val="false"/>
          <w:i w:val="false"/>
          <w:iCs w:val="false"/>
          <w:color w:val="333333"/>
          <w:sz w:val="20"/>
          <w:szCs w:val="20"/>
        </w:rPr>
        <w:t xml:space="preserve">After initial voice outreach, the Call Sentiment Score adjusts the composite:</w:t>
      </w:r>
    </w:p>
    <w:p>
      <w:pPr>
        <w:pStyle w:val="ListParagraph"/>
        <w:numPr>
          <w:ilvl w:val="0"/>
          <w:numId w:val="3"/>
        </w:numPr>
        <w:spacing w:after="40" w:before="40"/>
      </w:pPr>
      <w:r>
        <w:rPr>
          <w:rFonts w:ascii="Arial" w:cs="Arial" w:eastAsia="Arial" w:hAnsi="Arial"/>
          <w:color w:val="333333"/>
          <w:sz w:val="20"/>
          <w:szCs w:val="20"/>
        </w:rPr>
        <w:t xml:space="preserve">Positive sentiment (score &gt; 0.3): acquisition_score * 1.15 (cap at 100)</w:t>
      </w:r>
    </w:p>
    <w:p>
      <w:pPr>
        <w:pStyle w:val="ListParagraph"/>
        <w:numPr>
          <w:ilvl w:val="0"/>
          <w:numId w:val="3"/>
        </w:numPr>
        <w:spacing w:after="40" w:before="40"/>
      </w:pPr>
      <w:r>
        <w:rPr>
          <w:rFonts w:ascii="Arial" w:cs="Arial" w:eastAsia="Arial" w:hAnsi="Arial"/>
          <w:color w:val="333333"/>
          <w:sz w:val="20"/>
          <w:szCs w:val="20"/>
        </w:rPr>
        <w:t xml:space="preserve">Neutral sentiment (-0.3 to 0.3): no adjustment</w:t>
      </w:r>
    </w:p>
    <w:p>
      <w:pPr>
        <w:pStyle w:val="ListParagraph"/>
        <w:numPr>
          <w:ilvl w:val="0"/>
          <w:numId w:val="3"/>
        </w:numPr>
        <w:spacing w:after="40" w:before="40"/>
      </w:pPr>
      <w:r>
        <w:rPr>
          <w:rFonts w:ascii="Arial" w:cs="Arial" w:eastAsia="Arial" w:hAnsi="Arial"/>
          <w:color w:val="333333"/>
          <w:sz w:val="20"/>
          <w:szCs w:val="20"/>
        </w:rPr>
        <w:t xml:space="preserve">Negative sentiment (score &lt; -0.3): acquisition_score * 0.75</w:t>
      </w:r>
    </w:p>
    <w:p>
      <w:pPr>
        <w:pStyle w:val="ListParagraph"/>
        <w:numPr>
          <w:ilvl w:val="0"/>
          <w:numId w:val="3"/>
        </w:numPr>
        <w:spacing w:after="40" w:before="40"/>
      </w:pPr>
      <w:r>
        <w:rPr>
          <w:rFonts w:ascii="Arial" w:cs="Arial" w:eastAsia="Arial" w:hAnsi="Arial"/>
          <w:color w:val="333333"/>
          <w:sz w:val="20"/>
          <w:szCs w:val="20"/>
        </w:rPr>
        <w:t xml:space="preserve">No answer / voicemail after 2 attempts: acquisition_score * 0.90</w:t>
      </w:r>
    </w:p>
    <w:p>
      <w:pPr>
        <w:spacing w:after="80" w:before="80"/>
        <w:jc w:val="left"/>
      </w:pPr>
      <w:r>
        <w:rPr>
          <w:rFonts w:ascii="Arial" w:cs="Arial" w:eastAsia="Arial" w:hAnsi="Arial"/>
          <w:b w:val="false"/>
          <w:bCs w:val="false"/>
          <w:i w:val="false"/>
          <w:iCs w:val="false"/>
          <w:color w:val="333333"/>
          <w:sz w:val="20"/>
          <w:szCs w:val="20"/>
        </w:rPr>
        <w:t xml:space="preserve">This creates a dynamic scoring system where outreach data continuously refines lead priority rather than relying solely on pre-contact estimates.</w:t>
      </w:r>
    </w:p>
    <w:p>
      <w:pPr>
        <w:pStyle w:val="Heading2"/>
        <w:spacing w:after="160" w:before="280"/>
      </w:pPr>
      <w:r>
        <w:rPr>
          <w:rFonts w:ascii="Arial" w:cs="Arial" w:eastAsia="Arial" w:hAnsi="Arial"/>
          <w:b/>
          <w:bCs/>
          <w:color w:val="2D5F8A"/>
          <w:sz w:val="24"/>
          <w:szCs w:val="24"/>
        </w:rPr>
        <w:t xml:space="preserve">3.3 Price Tier Estimation</w:t>
      </w:r>
    </w:p>
    <w:p>
      <w:pPr>
        <w:spacing w:after="80" w:before="80"/>
        <w:jc w:val="left"/>
      </w:pPr>
      <w:r>
        <w:rPr>
          <w:rFonts w:ascii="Arial" w:cs="Arial" w:eastAsia="Arial" w:hAnsi="Arial"/>
          <w:b w:val="false"/>
          <w:bCs w:val="false"/>
          <w:i w:val="false"/>
          <w:iCs w:val="false"/>
          <w:color w:val="333333"/>
          <w:sz w:val="20"/>
          <w:szCs w:val="20"/>
        </w:rPr>
        <w:t xml:space="preserve">During the bootstrap phase, pricing is negotiable and fit to each business’s capability. The tier model below establishes reference ranges for outreach conversations, not hard floors. The goal is client acquisition and portfolio building — a $150/month contract with a barbershop that becomes a referral source is worth more than a lost $500 proposal. The voice agent and human follow-up should treat these tiers as starting points, not non-negotiable.</w:t>
      </w:r>
    </w:p>
    <w:p>
      <w:pPr>
        <w:spacing w:after="80" w:before="80"/>
        <w:jc w:val="left"/>
      </w:pPr>
      <w:r>
        <w:rPr>
          <w:rFonts w:ascii="Arial" w:cs="Arial" w:eastAsia="Arial" w:hAnsi="Arial"/>
          <w:b w:val="false"/>
          <w:bCs w:val="false"/>
          <w:i/>
          <w:iCs/>
          <w:color w:val="333333"/>
          <w:sz w:val="20"/>
          <w:szCs w:val="20"/>
        </w:rPr>
        <w:t xml:space="preserve">est_monthly_revenue = niche_median_revenue * (zip_mhi / national_mhi) * review_volume_multiplier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860"/>
        <w:gridCol w:w="3000"/>
      </w:tblGrid>
      <w:tr>
        <w:tc>
          <w:tcPr>
            <w:tcW w:type="dxa" w:w="10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5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Reference Range</w:t>
            </w:r>
          </w:p>
        </w:tc>
        <w:tc>
          <w:tcPr>
            <w:tcW w:type="dxa" w:w="386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Conditions</w:t>
            </w:r>
          </w:p>
        </w:tc>
        <w:tc>
          <w:tcPr>
            <w:tcW w:type="dxa" w:w="30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Services Included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Tier 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$150–$500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est_revenue &lt; $15K OR employees &lt; 3 OR competitive_pressure &lt; 30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GBP optimization, basic social media (2–3 posts/week), review solicitation</w:t>
            </w:r>
          </w:p>
        </w:tc>
      </w:tr>
      <w:tr>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Tier 2</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$400–$1,200</w:t>
            </w:r>
          </w:p>
        </w:tc>
        <w:tc>
          <w:tcPr>
            <w:tcW w:type="dxa" w:w="3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est_revenue $15K–$50K AND competitive_pressure 30–65 AND digital_deficit &gt; 50</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Tier 1 + website build, basic SEO, review management, Google Ads setup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Tier 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$900–$2,500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est_revenue &gt; $50K OR competitive_pressure &gt; 65 OR employees &gt; 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Tier 2 + paid ad management, content creation, advanced SEO, monthly reporting</w:t>
            </w:r>
          </w:p>
        </w:tc>
      </w:tr>
    </w:tbl>
    <w:p>
      <w:pPr>
        <w:spacing w:after="80" w:before="80"/>
        <w:jc w:val="left"/>
      </w:pPr>
      <w:r>
        <w:rPr>
          <w:rFonts w:ascii="Arial" w:cs="Arial" w:eastAsia="Arial" w:hAnsi="Arial"/>
          <w:b w:val="false"/>
          <w:bCs w:val="false"/>
          <w:i w:val="false"/>
          <w:iCs w:val="false"/>
          <w:color w:val="333333"/>
          <w:sz w:val="20"/>
          <w:szCs w:val="20"/>
        </w:rPr>
        <w:t xml:space="preserve">Overlapping ranges are intentional. A Tier 2 business that balks at $800 can be offered $400 with a reduced scope. Record the actual contract amount in the CRM for model recalibration — the gap between predicted tier and accepted price is itself a training signal for future pricing accuracy. As the portfolio matures past the bootstrap phase, tighten the ranges and reduce flexibility.</w:t>
      </w:r>
    </w:p>
    <w:p>
      <w:r>
        <w:br w:type="page"/>
      </w:r>
    </w:p>
    <w:p>
      <w:pPr>
        <w:pStyle w:val="Heading1"/>
        <w:pBdr>
          <w:bottom w:val="single" w:color="2D5F8A" w:sz="4" w:space="6"/>
        </w:pBdr>
        <w:spacing w:after="200" w:before="360"/>
      </w:pPr>
      <w:r>
        <w:rPr>
          <w:rFonts w:ascii="Arial" w:cs="Arial" w:eastAsia="Arial" w:hAnsi="Arial"/>
          <w:b/>
          <w:bCs/>
          <w:color w:val="1A1A1A"/>
          <w:sz w:val="28"/>
          <w:szCs w:val="28"/>
        </w:rPr>
        <w:t xml:space="preserve">4. System Architecture</w:t>
      </w:r>
    </w:p>
    <w:p>
      <w:pPr>
        <w:pStyle w:val="Heading2"/>
        <w:spacing w:after="160" w:before="280"/>
      </w:pPr>
      <w:r>
        <w:rPr>
          <w:rFonts w:ascii="Arial" w:cs="Arial" w:eastAsia="Arial" w:hAnsi="Arial"/>
          <w:b/>
          <w:bCs/>
          <w:color w:val="2D5F8A"/>
          <w:sz w:val="24"/>
          <w:szCs w:val="24"/>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8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56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Orchestration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Python 3.12+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Ecosystem maturity for scraping and ML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Web scraping (static/API)</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Scrapling</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Adaptive element tracking survives layout changes; StealthyFetcher bypasses Cloudflare; anti-bot evasion out of the box; replaces Scrapy + Playwright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Web scraping (dynamic/JS)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Scrapling PlayWrightFetcher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Headless browser for DFPR, IL SOS form-based lookups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Platform scraping (Nextdoor, CL, Thumbtack, Angi)</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Scrapling StealthyFetcher</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Custom scrapers for non-Meta platforms; zero per-item cost; adaptive element tracking handles layout changes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Meta platform scraping (IG, FB, Threads)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Apify Actors (API)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Meta’s anti-bot measures make custom scrapers cost-prohibitive to maintain; Apify handles proxy rotation and fingerprinting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LLM (local batch inference)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vLLM (CPU backend)</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Runs on x86 CPU without GPU; handles high-volume, latency-insensitive pipeline tasks (entity resolution, normalization, extraction); OpenAI-compatible API; Docker containerized with CPU thread binding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LLM (API routing layer)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OpenRouter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Unified gateway to all external LLM providers; OpenAI-compatible API; automatic fallback if a provider is down; enables A/B testing cheaper models per task; single API key and billing dashboard; no markup on provider pricing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LLM (complex reasoning)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Claude Sonnet (via OpenRouter)</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Outreach brief generation where reasoning quality directly maps to conversion rate; routed through OpenRouter for fallback and billing unification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Voice outreach 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Retell AI</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Sub-700ms interruption handling, built-in sentiment scoring, CRM webhook integration, appointment scheduling, $0.07–0.14/min all-in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Database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PostgreSQL 16 + PostGIS</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Relational model fits entity structure; geo queries for zip code radius mode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Task queue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Celery + Redis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Async scraping jobs; rate-limit management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API layer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FastAPI</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Internal API for leads, outreach triggers, CRM operations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CRM / Dashboard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React + Tailwind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Lightweight internal CRM with pipeline board, lead detail views, call logs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Containerization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Docker Compose</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Reproducible local deployment; single docker-compose up</w:t>
            </w:r>
          </w:p>
        </w:tc>
      </w:tr>
    </w:tbl>
    <w:p>
      <w:pPr>
        <w:pStyle w:val="Heading2"/>
        <w:spacing w:after="160" w:before="280"/>
      </w:pPr>
      <w:r>
        <w:rPr>
          <w:rFonts w:ascii="Arial" w:cs="Arial" w:eastAsia="Arial" w:hAnsi="Arial"/>
          <w:b/>
          <w:bCs/>
          <w:color w:val="2D5F8A"/>
          <w:sz w:val="24"/>
          <w:szCs w:val="24"/>
        </w:rPr>
        <w:t xml:space="preserve">4.2 LLM Task Routing</w:t>
      </w:r>
    </w:p>
    <w:p>
      <w:pPr>
        <w:spacing w:after="80" w:before="80"/>
        <w:jc w:val="left"/>
      </w:pPr>
      <w:r>
        <w:rPr>
          <w:rFonts w:ascii="Arial" w:cs="Arial" w:eastAsia="Arial" w:hAnsi="Arial"/>
          <w:b w:val="false"/>
          <w:bCs w:val="false"/>
          <w:i w:val="false"/>
          <w:iCs w:val="false"/>
          <w:color w:val="333333"/>
          <w:sz w:val="20"/>
          <w:szCs w:val="20"/>
        </w:rPr>
        <w:t xml:space="preserve">Inference is split across two tiers. Tier 1 (local): vLLM running on CPU handles batch pipeline tasks where volume is high, latency is irrelevant, and marginal cost must be zero. Tier 2 (API): all external model calls route through OpenRouter, which provides automatic provider fallback, unified billing, and the ability to swap models per task without code changes. The routing decision is simple: if the task is batch-queued and high-volume, it runs local. If it needs a hosted model, it goes through OpenRouter.</w:t>
      </w:r>
    </w:p>
    <w:p>
      <w:pPr>
        <w:spacing w:after="120" w:before="200"/>
      </w:pPr>
      <w:r>
        <w:rPr>
          <w:rFonts w:ascii="Arial" w:cs="Arial" w:eastAsia="Arial" w:hAnsi="Arial"/>
          <w:b/>
          <w:bCs/>
          <w:color w:val="333333"/>
          <w:sz w:val="22"/>
          <w:szCs w:val="22"/>
        </w:rPr>
        <w:t xml:space="preserve">Tier 1: Local Inference (vLLM on CPU)</w:t>
      </w:r>
    </w:p>
    <w:p>
      <w:pPr>
        <w:spacing w:after="80" w:before="80"/>
        <w:jc w:val="left"/>
      </w:pPr>
      <w:r>
        <w:rPr>
          <w:rFonts w:ascii="Arial" w:cs="Arial" w:eastAsia="Arial" w:hAnsi="Arial"/>
          <w:b w:val="false"/>
          <w:bCs w:val="false"/>
          <w:i w:val="false"/>
          <w:iCs w:val="false"/>
          <w:color w:val="333333"/>
          <w:sz w:val="20"/>
          <w:szCs w:val="20"/>
        </w:rPr>
        <w:t xml:space="preserve">vLLM serves a quantized Llama 3.1 8B (or Qwen 2.5 7B) on CPU via Docker. Requires x86 with AVX512 or ARM64 with NEON. Recommended minimum: 32GB RAM, 8+ physical cores. Latency per call is 2–8 seconds depending on input length — acceptable for overnight batch processing of lead queues. Monthly cost: $0 (infrastructure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600"/>
        <w:gridCol w:w="2760"/>
      </w:tblGrid>
      <w:tr>
        <w:tc>
          <w:tcPr>
            <w:tcW w:type="dxa" w:w="30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0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6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Est. Tokens/Call</w:t>
            </w:r>
          </w:p>
        </w:tc>
        <w:tc>
          <w:tcPr>
            <w:tcW w:type="dxa" w:w="276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Entity resolution (name matching)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Llama 3.1 8B Q4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300–500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High volume; fuzzy matching across data sources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Data normalization (address, phone)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Llama 3.1 8B Q4</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200–400</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Structured extraction with predictable patterns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Unstructured website extraction (email, owner)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Llama 3.1 8B Q4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400–800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Pattern extraction from HTML; volume-sensitive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Revenue estimation refinement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Llama 3.1 8B Q4</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200–300</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Structured calculation with niche-specific heuristics</w:t>
            </w:r>
          </w:p>
        </w:tc>
      </w:tr>
    </w:tbl>
    <w:p>
      <w:pPr>
        <w:spacing w:after="120" w:before="200"/>
      </w:pPr>
      <w:r>
        <w:rPr>
          <w:rFonts w:ascii="Arial" w:cs="Arial" w:eastAsia="Arial" w:hAnsi="Arial"/>
          <w:b/>
          <w:bCs/>
          <w:color w:val="333333"/>
          <w:sz w:val="22"/>
          <w:szCs w:val="22"/>
        </w:rPr>
        <w:t xml:space="preserve">Tier 2: API Inference (via OpenRouter)</w:t>
      </w:r>
    </w:p>
    <w:p>
      <w:pPr>
        <w:spacing w:after="80" w:before="80"/>
        <w:jc w:val="left"/>
      </w:pPr>
      <w:r>
        <w:rPr>
          <w:rFonts w:ascii="Arial" w:cs="Arial" w:eastAsia="Arial" w:hAnsi="Arial"/>
          <w:b w:val="false"/>
          <w:bCs w:val="false"/>
          <w:i w:val="false"/>
          <w:iCs w:val="false"/>
          <w:color w:val="333333"/>
          <w:sz w:val="20"/>
          <w:szCs w:val="20"/>
        </w:rPr>
        <w:t xml:space="preserve">All external LLM calls route through OpenRouter (base URL swap, same OpenAI SDK). This enables per-task model selection, automatic fallback across providers, and centralized cost tracking. During bootstrap, start each task on the cheapest viable model and validate against a 200-record Claude Sonnet baseline. Only upgrade models where the quality gap affects downstream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800"/>
        <w:gridCol w:w="1300"/>
        <w:gridCol w:w="1560"/>
      </w:tblGrid>
      <w:tr>
        <w:tc>
          <w:tcPr>
            <w:tcW w:type="dxa" w:w="22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5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Default Model</w:t>
            </w:r>
          </w:p>
        </w:tc>
        <w:tc>
          <w:tcPr>
            <w:tcW w:type="dxa" w:w="18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Fallback Model</w:t>
            </w:r>
          </w:p>
        </w:tc>
        <w:tc>
          <w:tcPr>
            <w:tcW w:type="dxa" w:w="13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Est. Cost/1K Calls</w:t>
            </w:r>
          </w:p>
        </w:tc>
        <w:tc>
          <w:tcPr>
            <w:tcW w:type="dxa" w:w="156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GBP completeness assessment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DeepSeek V3.2 ($0.25/$0.38/1M)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Gemini 3.1 Flash Lite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Structured evaluation; A/B test showed &lt;5% quality gap vs. Sonnet on this task type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Outreach brief generation</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Claude Sonnet ($3/$15/1M)</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No downgrade — quality-critical</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~$8–12</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Reasoning quality directly affects conversion rate; this is the one task where cost savings are not worth the tradeoff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Call transcript sentiment analysis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DeepSeek V3.2 ($0.25/$0.38/1M)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Gemini 3.1 Pro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~$0.60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Sentiment classification is pattern-heavy; validate against Sonnet baseline before committing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Outreach brief regeneration (on demand)</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Claude Sonnet ($3/$15/1M)</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N/A</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~$0.05/call</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Operator-triggered refresh of pitch angle; low volume, high value</w:t>
            </w:r>
          </w:p>
        </w:tc>
      </w:tr>
    </w:tbl>
    <w:p>
      <w:pPr>
        <w:spacing w:after="80" w:before="80"/>
        <w:jc w:val="left"/>
      </w:pPr>
      <w:r>
        <w:rPr>
          <w:rFonts w:ascii="Arial" w:cs="Arial" w:eastAsia="Arial" w:hAnsi="Arial"/>
          <w:b w:val="false"/>
          <w:bCs w:val="false"/>
          <w:i w:val="false"/>
          <w:iCs w:val="false"/>
          <w:color w:val="333333"/>
          <w:sz w:val="20"/>
          <w:szCs w:val="20"/>
        </w:rPr>
        <w:t xml:space="preserve">Estimated total API cost at 5,000 leads/month: $15–25 through OpenRouter vs. $60–80 if all tasks ran on Claude Sonnet directly. The savings come from routing GBP assessment and sentiment analysis to cheaper models that perform comparably on structured classification tasks. OpenRouter’s fallback routing means a provider outage does not halt the pipeline — requests automatically reroute to the next available provider for the same model.</w:t>
      </w:r>
    </w:p>
    <w:p>
      <w:pPr>
        <w:pStyle w:val="Heading2"/>
        <w:spacing w:after="160" w:before="280"/>
      </w:pPr>
      <w:r>
        <w:rPr>
          <w:rFonts w:ascii="Arial" w:cs="Arial" w:eastAsia="Arial" w:hAnsi="Arial"/>
          <w:b/>
          <w:bCs/>
          <w:color w:val="2D5F8A"/>
          <w:sz w:val="24"/>
          <w:szCs w:val="24"/>
        </w:rPr>
        <w:t xml:space="preserve">4.3 Nextdoor Cookie Refresh Automation</w:t>
      </w:r>
    </w:p>
    <w:p>
      <w:pPr>
        <w:spacing w:after="80" w:before="80"/>
        <w:jc w:val="left"/>
      </w:pPr>
      <w:r>
        <w:rPr>
          <w:rFonts w:ascii="Arial" w:cs="Arial" w:eastAsia="Arial" w:hAnsi="Arial"/>
          <w:b w:val="false"/>
          <w:bCs w:val="false"/>
          <w:i w:val="false"/>
          <w:iCs w:val="false"/>
          <w:color w:val="333333"/>
          <w:sz w:val="20"/>
          <w:szCs w:val="20"/>
        </w:rPr>
        <w:t xml:space="preserve">Nextdoor requires authenticated sessions to access business search results. Session cookies expire on a variable schedule (typically 7–14 days). Manual refresh is unsustainable. The system implements automated cookie rotation:</w:t>
      </w:r>
    </w:p>
    <w:p>
      <w:pPr>
        <w:pStyle w:val="ListParagraph"/>
        <w:numPr>
          <w:ilvl w:val="0"/>
          <w:numId w:val="4"/>
        </w:numPr>
        <w:spacing w:after="40" w:before="40"/>
      </w:pPr>
      <w:r>
        <w:rPr>
          <w:rFonts w:ascii="Arial" w:cs="Arial" w:eastAsia="Arial" w:hAnsi="Arial"/>
          <w:color w:val="333333"/>
          <w:sz w:val="20"/>
          <w:szCs w:val="20"/>
        </w:rPr>
        <w:t xml:space="preserve">A headless Scrapling PlayWrightFetcher session authenticates to Nextdoor using stored credentials on a Celery-scheduled task (every 5 days, conservatively inside the expiry window).</w:t>
      </w:r>
    </w:p>
    <w:p>
      <w:pPr>
        <w:pStyle w:val="ListParagraph"/>
        <w:numPr>
          <w:ilvl w:val="0"/>
          <w:numId w:val="4"/>
        </w:numPr>
        <w:spacing w:after="40" w:before="40"/>
      </w:pPr>
      <w:r>
        <w:rPr>
          <w:rFonts w:ascii="Arial" w:cs="Arial" w:eastAsia="Arial" w:hAnsi="Arial"/>
          <w:color w:val="333333"/>
          <w:sz w:val="20"/>
          <w:szCs w:val="20"/>
        </w:rPr>
        <w:t xml:space="preserve">On successful authentication, the new session cookies are extracted and stored in Redis with a TTL matching the refresh interval.</w:t>
      </w:r>
    </w:p>
    <w:p>
      <w:pPr>
        <w:pStyle w:val="ListParagraph"/>
        <w:numPr>
          <w:ilvl w:val="0"/>
          <w:numId w:val="4"/>
        </w:numPr>
        <w:spacing w:after="40" w:before="40"/>
      </w:pPr>
      <w:r>
        <w:rPr>
          <w:rFonts w:ascii="Arial" w:cs="Arial" w:eastAsia="Arial" w:hAnsi="Arial"/>
          <w:color w:val="333333"/>
          <w:sz w:val="20"/>
          <w:szCs w:val="20"/>
        </w:rPr>
        <w:t xml:space="preserve">All Nextdoor scraping tasks pull the current cookie set from Redis before initiating requests.</w:t>
      </w:r>
    </w:p>
    <w:p>
      <w:pPr>
        <w:pStyle w:val="ListParagraph"/>
        <w:numPr>
          <w:ilvl w:val="0"/>
          <w:numId w:val="4"/>
        </w:numPr>
        <w:spacing w:after="40" w:before="40"/>
      </w:pPr>
      <w:r>
        <w:rPr>
          <w:rFonts w:ascii="Arial" w:cs="Arial" w:eastAsia="Arial" w:hAnsi="Arial"/>
          <w:color w:val="333333"/>
          <w:sz w:val="20"/>
          <w:szCs w:val="20"/>
        </w:rPr>
        <w:t xml:space="preserve">If authentication fails (CAPTCHA, account lock, credential change), the system logs the failure, alerts the operator, and marks Nextdoor enrichment as temporarily unavailable. Leads continue scoring without Nextdoor data — it degrades gracefully since Nextdoor recommendations carry only 5 points in the viability score.</w:t>
      </w:r>
    </w:p>
    <w:p>
      <w:pPr>
        <w:spacing w:after="80" w:before="80"/>
        <w:jc w:val="left"/>
      </w:pPr>
      <w:r>
        <w:rPr>
          <w:rFonts w:ascii="Arial" w:cs="Arial" w:eastAsia="Arial" w:hAnsi="Arial"/>
          <w:b w:val="false"/>
          <w:bCs w:val="false"/>
          <w:i w:val="false"/>
          <w:iCs w:val="false"/>
          <w:color w:val="333333"/>
          <w:sz w:val="20"/>
          <w:szCs w:val="20"/>
        </w:rPr>
        <w:t xml:space="preserve">A dedicated Nextdoor account (not a personal account) should be created for this purpose to isolate risk.</w:t>
      </w:r>
    </w:p>
    <w:p>
      <w:r>
        <w:br w:type="page"/>
      </w:r>
    </w:p>
    <w:p>
      <w:pPr>
        <w:pStyle w:val="Heading1"/>
        <w:pBdr>
          <w:bottom w:val="single" w:color="2D5F8A" w:sz="4" w:space="6"/>
        </w:pBdr>
        <w:spacing w:after="200" w:before="360"/>
      </w:pPr>
      <w:r>
        <w:rPr>
          <w:rFonts w:ascii="Arial" w:cs="Arial" w:eastAsia="Arial" w:hAnsi="Arial"/>
          <w:b/>
          <w:bCs/>
          <w:color w:val="1A1A1A"/>
          <w:sz w:val="28"/>
          <w:szCs w:val="28"/>
        </w:rPr>
        <w:t xml:space="preserve">5. Voice Outreach System</w:t>
      </w:r>
    </w:p>
    <w:p>
      <w:pPr>
        <w:pStyle w:val="Heading2"/>
        <w:spacing w:after="160" w:before="280"/>
      </w:pPr>
      <w:r>
        <w:rPr>
          <w:rFonts w:ascii="Arial" w:cs="Arial" w:eastAsia="Arial" w:hAnsi="Arial"/>
          <w:b/>
          <w:bCs/>
          <w:color w:val="2D5F8A"/>
          <w:sz w:val="24"/>
          <w:szCs w:val="24"/>
        </w:rPr>
        <w:t xml:space="preserve">5.1 Architecture</w:t>
      </w:r>
    </w:p>
    <w:p>
      <w:pPr>
        <w:spacing w:after="80" w:before="80"/>
        <w:jc w:val="left"/>
      </w:pPr>
      <w:r>
        <w:rPr>
          <w:rFonts w:ascii="Arial" w:cs="Arial" w:eastAsia="Arial" w:hAnsi="Arial"/>
          <w:b w:val="false"/>
          <w:bCs w:val="false"/>
          <w:i w:val="false"/>
          <w:iCs w:val="false"/>
          <w:color w:val="333333"/>
          <w:sz w:val="20"/>
          <w:szCs w:val="20"/>
        </w:rPr>
        <w:t xml:space="preserve">The voice outreach system uses Retell AI as the voice agent platform, integrated with the LeadForge pipeline via webhooks. The agent initiates outbound calls to scored leads, conducts a structured but conversational pitch, and attempts to schedule a virtual or in-person meeting.</w:t>
      </w:r>
    </w:p>
    <w:p>
      <w:pPr>
        <w:spacing w:after="120" w:before="200"/>
      </w:pPr>
      <w:r>
        <w:rPr>
          <w:rFonts w:ascii="Arial" w:cs="Arial" w:eastAsia="Arial" w:hAnsi="Arial"/>
          <w:b/>
          <w:bCs/>
          <w:color w:val="333333"/>
          <w:sz w:val="22"/>
          <w:szCs w:val="22"/>
        </w:rPr>
        <w:t xml:space="preserve">Why Retell over alternatives</w:t>
      </w:r>
    </w:p>
    <w:p>
      <w:pPr>
        <w:pStyle w:val="ListParagraph"/>
        <w:numPr>
          <w:ilvl w:val="0"/>
          <w:numId w:val="2"/>
        </w:numPr>
        <w:spacing w:after="40" w:before="40"/>
      </w:pPr>
      <w:r>
        <w:rPr>
          <w:rFonts w:ascii="Arial" w:cs="Arial" w:eastAsia="Arial" w:hAnsi="Arial"/>
          <w:color w:val="333333"/>
          <w:sz w:val="20"/>
          <w:szCs w:val="20"/>
        </w:rPr>
        <w:t xml:space="preserve">Sub-700ms interruption handling — critical for cold calling skeptical small business owners who will test the agent with interruptions and objections.</w:t>
      </w:r>
    </w:p>
    <w:p>
      <w:pPr>
        <w:pStyle w:val="ListParagraph"/>
        <w:numPr>
          <w:ilvl w:val="0"/>
          <w:numId w:val="2"/>
        </w:numPr>
        <w:spacing w:after="40" w:before="40"/>
      </w:pPr>
      <w:r>
        <w:rPr>
          <w:rFonts w:ascii="Arial" w:cs="Arial" w:eastAsia="Arial" w:hAnsi="Arial"/>
          <w:color w:val="333333"/>
          <w:sz w:val="20"/>
          <w:szCs w:val="20"/>
        </w:rPr>
        <w:t xml:space="preserve">Built-in sentiment scoring per call — eliminates need for separate post-call analysis pipeline.</w:t>
      </w:r>
    </w:p>
    <w:p>
      <w:pPr>
        <w:pStyle w:val="ListParagraph"/>
        <w:numPr>
          <w:ilvl w:val="0"/>
          <w:numId w:val="2"/>
        </w:numPr>
        <w:spacing w:after="40" w:before="40"/>
      </w:pPr>
      <w:r>
        <w:rPr>
          <w:rFonts w:ascii="Arial" w:cs="Arial" w:eastAsia="Arial" w:hAnsi="Arial"/>
          <w:color w:val="333333"/>
          <w:sz w:val="20"/>
          <w:szCs w:val="20"/>
        </w:rPr>
        <w:t xml:space="preserve">Native appointment scheduling — can check availability and book directly during the call.</w:t>
      </w:r>
    </w:p>
    <w:p>
      <w:pPr>
        <w:pStyle w:val="ListParagraph"/>
        <w:numPr>
          <w:ilvl w:val="0"/>
          <w:numId w:val="2"/>
        </w:numPr>
        <w:spacing w:after="40" w:before="40"/>
      </w:pPr>
      <w:r>
        <w:rPr>
          <w:rFonts w:ascii="Arial" w:cs="Arial" w:eastAsia="Arial" w:hAnsi="Arial"/>
          <w:color w:val="333333"/>
          <w:sz w:val="20"/>
          <w:szCs w:val="20"/>
        </w:rPr>
        <w:t xml:space="preserve">Webhook-based CRM integration — call outcome, transcript, and sentiment push directly to LeadForge database.</w:t>
      </w:r>
    </w:p>
    <w:p>
      <w:pPr>
        <w:pStyle w:val="ListParagraph"/>
        <w:numPr>
          <w:ilvl w:val="0"/>
          <w:numId w:val="2"/>
        </w:numPr>
        <w:spacing w:after="40" w:before="40"/>
      </w:pPr>
      <w:r>
        <w:rPr>
          <w:rFonts w:ascii="Arial" w:cs="Arial" w:eastAsia="Arial" w:hAnsi="Arial"/>
          <w:color w:val="333333"/>
          <w:sz w:val="20"/>
          <w:szCs w:val="20"/>
        </w:rPr>
        <w:t xml:space="preserve">All-in pricing ($0.07–0.14/min) — no hidden LLM/TTS/STT layered costs.</w:t>
      </w:r>
    </w:p>
    <w:p>
      <w:pPr>
        <w:spacing w:after="80" w:before="80"/>
        <w:jc w:val="left"/>
      </w:pPr>
      <w:r>
        <w:rPr>
          <w:rFonts w:ascii="Arial" w:cs="Arial" w:eastAsia="Arial" w:hAnsi="Arial"/>
          <w:b w:val="false"/>
          <w:bCs w:val="false"/>
          <w:i w:val="false"/>
          <w:iCs w:val="false"/>
          <w:color w:val="333333"/>
          <w:sz w:val="20"/>
          <w:szCs w:val="20"/>
        </w:rPr>
        <w:t xml:space="preserve">Fallback: Vapi (open-source, $0.05/min + component costs) if full self-hosting becomes necessary. Backend logic should be decoupled from the voice provider via webhook handler.</w:t>
      </w:r>
    </w:p>
    <w:p>
      <w:pPr>
        <w:pStyle w:val="Heading2"/>
        <w:spacing w:after="160" w:before="280"/>
      </w:pPr>
      <w:r>
        <w:rPr>
          <w:rFonts w:ascii="Arial" w:cs="Arial" w:eastAsia="Arial" w:hAnsi="Arial"/>
          <w:b/>
          <w:bCs/>
          <w:color w:val="2D5F8A"/>
          <w:sz w:val="24"/>
          <w:szCs w:val="24"/>
        </w:rPr>
        <w:t xml:space="preserve">5.2 Call Flow</w:t>
      </w:r>
    </w:p>
    <w:p>
      <w:pPr>
        <w:pStyle w:val="ListParagraph"/>
        <w:numPr>
          <w:ilvl w:val="0"/>
          <w:numId w:val="5"/>
        </w:numPr>
        <w:spacing w:after="40" w:before="40"/>
      </w:pPr>
      <w:r>
        <w:rPr>
          <w:rFonts w:ascii="Arial" w:cs="Arial" w:eastAsia="Arial" w:hAnsi="Arial"/>
          <w:color w:val="333333"/>
          <w:sz w:val="20"/>
          <w:szCs w:val="20"/>
        </w:rPr>
        <w:t xml:space="preserve">Agent initiates outbound call to lead’s primary phone number.</w:t>
      </w:r>
    </w:p>
    <w:p>
      <w:pPr>
        <w:pStyle w:val="ListParagraph"/>
        <w:numPr>
          <w:ilvl w:val="0"/>
          <w:numId w:val="5"/>
        </w:numPr>
        <w:spacing w:after="40" w:before="40"/>
      </w:pPr>
      <w:r>
        <w:rPr>
          <w:rFonts w:ascii="Arial" w:cs="Arial" w:eastAsia="Arial" w:hAnsi="Arial"/>
          <w:color w:val="333333"/>
          <w:sz w:val="20"/>
          <w:szCs w:val="20"/>
        </w:rPr>
        <w:t xml:space="preserve">If voicemail: leave a 15-second message with callback number and brief value proposition. Mark disposition as Voicemail. Schedule retry in 48 hours.</w:t>
      </w:r>
    </w:p>
    <w:p>
      <w:pPr>
        <w:pStyle w:val="ListParagraph"/>
        <w:numPr>
          <w:ilvl w:val="0"/>
          <w:numId w:val="5"/>
        </w:numPr>
        <w:spacing w:after="40" w:before="40"/>
      </w:pPr>
      <w:r>
        <w:rPr>
          <w:rFonts w:ascii="Arial" w:cs="Arial" w:eastAsia="Arial" w:hAnsi="Arial"/>
          <w:color w:val="333333"/>
          <w:sz w:val="20"/>
          <w:szCs w:val="20"/>
        </w:rPr>
        <w:t xml:space="preserve">If answered: identify self as calling from [agency name], reference a specific observation about their business (generated from outreach brief). Example: “I noticed your barbershop has great reviews on Google but doesn’t have a website — your competitors in the area do, and they’re showing up in searches that could be sending customers your way.”</w:t>
      </w:r>
    </w:p>
    <w:p>
      <w:pPr>
        <w:pStyle w:val="ListParagraph"/>
        <w:numPr>
          <w:ilvl w:val="0"/>
          <w:numId w:val="5"/>
        </w:numPr>
        <w:spacing w:after="40" w:before="40"/>
      </w:pPr>
      <w:r>
        <w:rPr>
          <w:rFonts w:ascii="Arial" w:cs="Arial" w:eastAsia="Arial" w:hAnsi="Arial"/>
          <w:color w:val="333333"/>
          <w:sz w:val="20"/>
          <w:szCs w:val="20"/>
        </w:rPr>
        <w:t xml:space="preserve">Gauge interest. If positive or neutral, propose a 15-minute virtual call or in-person visit to discuss specifics.</w:t>
      </w:r>
    </w:p>
    <w:p>
      <w:pPr>
        <w:pStyle w:val="ListParagraph"/>
        <w:numPr>
          <w:ilvl w:val="0"/>
          <w:numId w:val="5"/>
        </w:numPr>
        <w:spacing w:after="40" w:before="40"/>
      </w:pPr>
      <w:r>
        <w:rPr>
          <w:rFonts w:ascii="Arial" w:cs="Arial" w:eastAsia="Arial" w:hAnsi="Arial"/>
          <w:color w:val="333333"/>
          <w:sz w:val="20"/>
          <w:szCs w:val="20"/>
        </w:rPr>
        <w:t xml:space="preserve">If meeting agreed: collect preferred time, confirm virtual (Zoom/Google Meet) or in-person, and confirm contact info.</w:t>
      </w:r>
    </w:p>
    <w:p>
      <w:pPr>
        <w:pStyle w:val="ListParagraph"/>
        <w:numPr>
          <w:ilvl w:val="0"/>
          <w:numId w:val="5"/>
        </w:numPr>
        <w:spacing w:after="40" w:before="40"/>
      </w:pPr>
      <w:r>
        <w:rPr>
          <w:rFonts w:ascii="Arial" w:cs="Arial" w:eastAsia="Arial" w:hAnsi="Arial"/>
          <w:color w:val="333333"/>
          <w:sz w:val="20"/>
          <w:szCs w:val="20"/>
        </w:rPr>
        <w:t xml:space="preserve">If declined: ask permission to follow up in 30 days. Mark disposition accordingly.</w:t>
      </w:r>
    </w:p>
    <w:p>
      <w:pPr>
        <w:pStyle w:val="ListParagraph"/>
        <w:numPr>
          <w:ilvl w:val="0"/>
          <w:numId w:val="5"/>
        </w:numPr>
        <w:spacing w:after="40" w:before="40"/>
      </w:pPr>
      <w:r>
        <w:rPr>
          <w:rFonts w:ascii="Arial" w:cs="Arial" w:eastAsia="Arial" w:hAnsi="Arial"/>
          <w:color w:val="333333"/>
          <w:sz w:val="20"/>
          <w:szCs w:val="20"/>
        </w:rPr>
        <w:t xml:space="preserve">Post-call: transcript and sentiment score are pushed to LeadForge via webhook. Acquisition score is adjusted per sentiment feedback loop (Section 3.2).</w:t>
      </w:r>
    </w:p>
    <w:p>
      <w:pPr>
        <w:pStyle w:val="Heading2"/>
        <w:spacing w:after="160" w:before="280"/>
      </w:pPr>
      <w:r>
        <w:rPr>
          <w:rFonts w:ascii="Arial" w:cs="Arial" w:eastAsia="Arial" w:hAnsi="Arial"/>
          <w:b/>
          <w:bCs/>
          <w:color w:val="2D5F8A"/>
          <w:sz w:val="24"/>
          <w:szCs w:val="24"/>
        </w:rPr>
        <w:t xml:space="preserve">5.3 Sentiment Analysis Integration</w:t>
      </w:r>
    </w:p>
    <w:p>
      <w:pPr>
        <w:spacing w:after="80" w:before="80"/>
        <w:jc w:val="left"/>
      </w:pPr>
      <w:r>
        <w:rPr>
          <w:rFonts w:ascii="Arial" w:cs="Arial" w:eastAsia="Arial" w:hAnsi="Arial"/>
          <w:b w:val="false"/>
          <w:bCs w:val="false"/>
          <w:i w:val="false"/>
          <w:iCs w:val="false"/>
          <w:color w:val="333333"/>
          <w:sz w:val="20"/>
          <w:szCs w:val="20"/>
        </w:rPr>
        <w:t xml:space="preserve">Every completed call produces a transcript that is analyzed via OpenRouter (default: DeepSeek V3.2, validated against Claude Sonnet baseline) for:</w:t>
      </w:r>
    </w:p>
    <w:p>
      <w:pPr>
        <w:pStyle w:val="ListParagraph"/>
        <w:numPr>
          <w:ilvl w:val="0"/>
          <w:numId w:val="6"/>
        </w:numPr>
        <w:spacing w:after="40" w:before="40"/>
      </w:pPr>
      <w:r>
        <w:rPr>
          <w:rFonts w:ascii="Arial" w:cs="Arial" w:eastAsia="Arial" w:hAnsi="Arial"/>
          <w:color w:val="333333"/>
          <w:sz w:val="20"/>
          <w:szCs w:val="20"/>
        </w:rPr>
        <w:t xml:space="preserve">Overall sentiment (-1 to 1): hostile, dismissive, neutral, curious, interested, enthusiastic</w:t>
      </w:r>
    </w:p>
    <w:p>
      <w:pPr>
        <w:pStyle w:val="ListParagraph"/>
        <w:numPr>
          <w:ilvl w:val="0"/>
          <w:numId w:val="6"/>
        </w:numPr>
        <w:spacing w:after="40" w:before="40"/>
      </w:pPr>
      <w:r>
        <w:rPr>
          <w:rFonts w:ascii="Arial" w:cs="Arial" w:eastAsia="Arial" w:hAnsi="Arial"/>
          <w:color w:val="333333"/>
          <w:sz w:val="20"/>
          <w:szCs w:val="20"/>
        </w:rPr>
        <w:t xml:space="preserve">Objection classification: price concern, already have agency, not interested in marketing, bad timing, distrust of AI/cold calls</w:t>
      </w:r>
    </w:p>
    <w:p>
      <w:pPr>
        <w:pStyle w:val="ListParagraph"/>
        <w:numPr>
          <w:ilvl w:val="0"/>
          <w:numId w:val="6"/>
        </w:numPr>
        <w:spacing w:after="40" w:before="40"/>
      </w:pPr>
      <w:r>
        <w:rPr>
          <w:rFonts w:ascii="Arial" w:cs="Arial" w:eastAsia="Arial" w:hAnsi="Arial"/>
          <w:color w:val="333333"/>
          <w:sz w:val="20"/>
          <w:szCs w:val="20"/>
        </w:rPr>
        <w:t xml:space="preserve">Purchase intent signal: asked about pricing, asked about services, asked for examples, mentioned competitor</w:t>
      </w:r>
    </w:p>
    <w:p>
      <w:pPr>
        <w:pStyle w:val="ListParagraph"/>
        <w:numPr>
          <w:ilvl w:val="0"/>
          <w:numId w:val="6"/>
        </w:numPr>
        <w:spacing w:after="40" w:before="40"/>
      </w:pPr>
      <w:r>
        <w:rPr>
          <w:rFonts w:ascii="Arial" w:cs="Arial" w:eastAsia="Arial" w:hAnsi="Arial"/>
          <w:color w:val="333333"/>
          <w:sz w:val="20"/>
          <w:szCs w:val="20"/>
        </w:rPr>
        <w:t xml:space="preserve">Follow-up recommendation: immediate (hot lead), scheduled (warm), deprioritize (cold), disqualify (hostile/wrong contact)</w:t>
      </w:r>
    </w:p>
    <w:p>
      <w:pPr>
        <w:spacing w:after="80" w:before="80"/>
        <w:jc w:val="left"/>
      </w:pPr>
      <w:r>
        <w:rPr>
          <w:rFonts w:ascii="Arial" w:cs="Arial" w:eastAsia="Arial" w:hAnsi="Arial"/>
          <w:b w:val="false"/>
          <w:bCs w:val="false"/>
          <w:i w:val="false"/>
          <w:iCs w:val="false"/>
          <w:color w:val="333333"/>
          <w:sz w:val="20"/>
          <w:szCs w:val="20"/>
        </w:rPr>
        <w:t xml:space="preserve">This data feeds directly into the CRM record and adjusts the lead’s composite acquisition score dynamically.</w:t>
      </w:r>
    </w:p>
    <w:p>
      <w:pPr>
        <w:pStyle w:val="Heading2"/>
        <w:spacing w:after="160" w:before="280"/>
      </w:pPr>
      <w:r>
        <w:rPr>
          <w:rFonts w:ascii="Arial" w:cs="Arial" w:eastAsia="Arial" w:hAnsi="Arial"/>
          <w:b/>
          <w:bCs/>
          <w:color w:val="2D5F8A"/>
          <w:sz w:val="24"/>
          <w:szCs w:val="24"/>
        </w:rPr>
        <w:t xml:space="preserve">5.4 Compliance</w:t>
      </w:r>
    </w:p>
    <w:p>
      <w:pPr>
        <w:pStyle w:val="ListParagraph"/>
        <w:numPr>
          <w:ilvl w:val="0"/>
          <w:numId w:val="7"/>
        </w:numPr>
        <w:spacing w:after="40" w:before="40"/>
      </w:pPr>
      <w:r>
        <w:rPr>
          <w:rFonts w:ascii="Arial" w:cs="Arial" w:eastAsia="Arial" w:hAnsi="Arial"/>
          <w:color w:val="333333"/>
          <w:sz w:val="20"/>
          <w:szCs w:val="20"/>
        </w:rPr>
        <w:t xml:space="preserve">TCPA: Manual-equivalent dialing (one call at a time, no predictive dialer). Calls are to business lines, not personal mobile numbers, which reduces TCPA exposure. If the number is identified as a personal mobile, the system flags for human review before calling.</w:t>
      </w:r>
    </w:p>
    <w:p>
      <w:pPr>
        <w:pStyle w:val="ListParagraph"/>
        <w:numPr>
          <w:ilvl w:val="0"/>
          <w:numId w:val="7"/>
        </w:numPr>
        <w:spacing w:after="40" w:before="40"/>
      </w:pPr>
      <w:r>
        <w:rPr>
          <w:rFonts w:ascii="Arial" w:cs="Arial" w:eastAsia="Arial" w:hAnsi="Arial"/>
          <w:color w:val="333333"/>
          <w:sz w:val="20"/>
          <w:szCs w:val="20"/>
        </w:rPr>
        <w:t xml:space="preserve">CAN-SPAM: If email outreach is added later, it must include physical address, sender identification, and functional unsubscribe.</w:t>
      </w:r>
    </w:p>
    <w:p>
      <w:pPr>
        <w:pStyle w:val="ListParagraph"/>
        <w:numPr>
          <w:ilvl w:val="0"/>
          <w:numId w:val="7"/>
        </w:numPr>
        <w:spacing w:after="40" w:before="40"/>
      </w:pPr>
      <w:r>
        <w:rPr>
          <w:rFonts w:ascii="Arial" w:cs="Arial" w:eastAsia="Arial" w:hAnsi="Arial"/>
          <w:color w:val="333333"/>
          <w:sz w:val="20"/>
          <w:szCs w:val="20"/>
        </w:rPr>
        <w:t xml:space="preserve">Illinois law: No additional state-specific cold outreach restrictions apply to B2B solicitation.</w:t>
      </w:r>
    </w:p>
    <w:p>
      <w:pPr>
        <w:pStyle w:val="ListParagraph"/>
        <w:numPr>
          <w:ilvl w:val="0"/>
          <w:numId w:val="7"/>
        </w:numPr>
        <w:spacing w:after="40" w:before="40"/>
      </w:pPr>
      <w:r>
        <w:rPr>
          <w:rFonts w:ascii="Arial" w:cs="Arial" w:eastAsia="Arial" w:hAnsi="Arial"/>
          <w:color w:val="333333"/>
          <w:sz w:val="20"/>
          <w:szCs w:val="20"/>
        </w:rPr>
        <w:t xml:space="preserve">FTC Telemarketing Sales Rule: B2B calls are largely exempt, but the agent must identify itself honestly if asked whether it is AI.</w:t>
      </w:r>
    </w:p>
    <w:p>
      <w:r>
        <w:br w:type="page"/>
      </w:r>
    </w:p>
    <w:p>
      <w:pPr>
        <w:pStyle w:val="Heading1"/>
        <w:pBdr>
          <w:bottom w:val="single" w:color="2D5F8A" w:sz="4" w:space="6"/>
        </w:pBdr>
        <w:spacing w:after="200" w:before="360"/>
      </w:pPr>
      <w:r>
        <w:rPr>
          <w:rFonts w:ascii="Arial" w:cs="Arial" w:eastAsia="Arial" w:hAnsi="Arial"/>
          <w:b/>
          <w:bCs/>
          <w:color w:val="1A1A1A"/>
          <w:sz w:val="28"/>
          <w:szCs w:val="28"/>
        </w:rPr>
        <w:t xml:space="preserve">6. CRM System</w:t>
      </w:r>
    </w:p>
    <w:p>
      <w:pPr>
        <w:pStyle w:val="Heading2"/>
        <w:spacing w:after="160" w:before="280"/>
      </w:pPr>
      <w:r>
        <w:rPr>
          <w:rFonts w:ascii="Arial" w:cs="Arial" w:eastAsia="Arial" w:hAnsi="Arial"/>
          <w:b/>
          <w:bCs/>
          <w:color w:val="2D5F8A"/>
          <w:sz w:val="24"/>
          <w:szCs w:val="24"/>
        </w:rPr>
        <w:t xml:space="preserve">6.1 Design Philosophy</w:t>
      </w:r>
    </w:p>
    <w:p>
      <w:pPr>
        <w:spacing w:after="80" w:before="80"/>
        <w:jc w:val="left"/>
      </w:pPr>
      <w:r>
        <w:rPr>
          <w:rFonts w:ascii="Arial" w:cs="Arial" w:eastAsia="Arial" w:hAnsi="Arial"/>
          <w:b w:val="false"/>
          <w:bCs w:val="false"/>
          <w:i w:val="false"/>
          <w:iCs w:val="false"/>
          <w:color w:val="333333"/>
          <w:sz w:val="20"/>
          <w:szCs w:val="20"/>
        </w:rPr>
        <w:t xml:space="preserve">LeadForge’s CRM is not Salesforce. It is purpose-built for a single pipeline: cold outreach to local small businesses for marketing services. It needs to track exactly one deal type through exactly one sales process with a small team. Anything beyond that is overhead. The CRM is a React + Tailwind frontend backed by FastAPI endpoints and the same PostgreSQL database as the scraping pipeline.</w:t>
      </w:r>
    </w:p>
    <w:p>
      <w:pPr>
        <w:pStyle w:val="Heading2"/>
        <w:spacing w:after="160" w:before="280"/>
      </w:pPr>
      <w:r>
        <w:rPr>
          <w:rFonts w:ascii="Arial" w:cs="Arial" w:eastAsia="Arial" w:hAnsi="Arial"/>
          <w:b/>
          <w:bCs/>
          <w:color w:val="2D5F8A"/>
          <w:sz w:val="24"/>
          <w:szCs w:val="24"/>
        </w:rPr>
        <w:t xml:space="preserve">6.2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40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356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Trigger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Scored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Lead has been scraped, enriched, and scored. No outreach yet.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Pipeline completion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Queued</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Lead approved for outreach and queued for voice agent.</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Operator approval or auto-queue for Tier A leads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Contacted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Voice agent has attempted first call.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Call initiated by Retell</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Voicemail</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Message left, awaiting callback or retry.</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Retell disposition = voicemail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Engaged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Business owner answered and had a conversation.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Retell disposition = answered, sentiment &gt; -0.3</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Meeting Scheduled</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Virtual or in-person meeting booked.</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Agent confirmed meeting 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Proposal Sent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Pricing/scope proposal delivered after meeting.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Manual status update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Negotiating</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Prospect responded to proposal with questions or counter.</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Manual status update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Contract signed, client acquired.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Manual status update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Lost</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Business declined after engagement.</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Manual or auto after 3 failed follow-ups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Disqualified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Invalid contact, closed business, or fundamentally wrong fit.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Manual or auto-detection</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Nurture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Not ready now but open to future contact. Re-enter pipeline in 90 days.</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Manual status update</w:t>
            </w:r>
          </w:p>
        </w:tc>
      </w:tr>
    </w:tbl>
    <w:p>
      <w:pPr>
        <w:pStyle w:val="Heading2"/>
        <w:spacing w:after="160" w:before="280"/>
      </w:pPr>
      <w:r>
        <w:rPr>
          <w:rFonts w:ascii="Arial" w:cs="Arial" w:eastAsia="Arial" w:hAnsi="Arial"/>
          <w:b/>
          <w:bCs/>
          <w:color w:val="2D5F8A"/>
          <w:sz w:val="24"/>
          <w:szCs w:val="24"/>
        </w:rPr>
        <w:t xml:space="preserve">6.3 CRM Feature Set</w:t>
      </w:r>
    </w:p>
    <w:p>
      <w:pPr>
        <w:spacing w:after="120" w:before="200"/>
      </w:pPr>
      <w:r>
        <w:rPr>
          <w:rFonts w:ascii="Arial" w:cs="Arial" w:eastAsia="Arial" w:hAnsi="Arial"/>
          <w:b/>
          <w:bCs/>
          <w:color w:val="333333"/>
          <w:sz w:val="22"/>
          <w:szCs w:val="22"/>
        </w:rPr>
        <w:t xml:space="preserve">Pipeline Board View</w:t>
      </w:r>
    </w:p>
    <w:p>
      <w:pPr>
        <w:spacing w:after="80" w:before="80"/>
        <w:jc w:val="left"/>
      </w:pPr>
      <w:r>
        <w:rPr>
          <w:rFonts w:ascii="Arial" w:cs="Arial" w:eastAsia="Arial" w:hAnsi="Arial"/>
          <w:b w:val="false"/>
          <w:bCs w:val="false"/>
          <w:i w:val="false"/>
          <w:iCs w:val="false"/>
          <w:color w:val="333333"/>
          <w:sz w:val="20"/>
          <w:szCs w:val="20"/>
        </w:rPr>
        <w:t xml:space="preserve">Kanban-style board showing leads across pipeline stages. Cards display: business name, niche, zip code, acquisition score, price tier, days in current stage, and last contact date. Drag-and-drop between stages with automatic timestamp logging.</w:t>
      </w:r>
    </w:p>
    <w:p>
      <w:pPr>
        <w:spacing w:after="120" w:before="200"/>
      </w:pPr>
      <w:r>
        <w:rPr>
          <w:rFonts w:ascii="Arial" w:cs="Arial" w:eastAsia="Arial" w:hAnsi="Arial"/>
          <w:b/>
          <w:bCs/>
          <w:color w:val="333333"/>
          <w:sz w:val="22"/>
          <w:szCs w:val="22"/>
        </w:rPr>
        <w:t xml:space="preserve">Lead Detail View</w:t>
      </w:r>
    </w:p>
    <w:p>
      <w:pPr>
        <w:pStyle w:val="ListParagraph"/>
        <w:numPr>
          <w:ilvl w:val="0"/>
          <w:numId w:val="8"/>
        </w:numPr>
        <w:spacing w:after="40" w:before="40"/>
      </w:pPr>
      <w:r>
        <w:rPr>
          <w:rFonts w:ascii="Arial" w:cs="Arial" w:eastAsia="Arial" w:hAnsi="Arial"/>
          <w:color w:val="333333"/>
          <w:sz w:val="20"/>
          <w:szCs w:val="20"/>
        </w:rPr>
        <w:t xml:space="preserve">Business profile: all scraped/enriched data, digital presence summary, competitive context</w:t>
      </w:r>
    </w:p>
    <w:p>
      <w:pPr>
        <w:pStyle w:val="ListParagraph"/>
        <w:numPr>
          <w:ilvl w:val="0"/>
          <w:numId w:val="8"/>
        </w:numPr>
        <w:spacing w:after="40" w:before="40"/>
      </w:pPr>
      <w:r>
        <w:rPr>
          <w:rFonts w:ascii="Arial" w:cs="Arial" w:eastAsia="Arial" w:hAnsi="Arial"/>
          <w:color w:val="333333"/>
          <w:sz w:val="20"/>
          <w:szCs w:val="20"/>
        </w:rPr>
        <w:t xml:space="preserve">Score breakdown: digital deficit, viability, competitive pressure sub-scores with contributing signals visible</w:t>
      </w:r>
    </w:p>
    <w:p>
      <w:pPr>
        <w:pStyle w:val="ListParagraph"/>
        <w:numPr>
          <w:ilvl w:val="0"/>
          <w:numId w:val="8"/>
        </w:numPr>
        <w:spacing w:after="40" w:before="40"/>
      </w:pPr>
      <w:r>
        <w:rPr>
          <w:rFonts w:ascii="Arial" w:cs="Arial" w:eastAsia="Arial" w:hAnsi="Arial"/>
          <w:color w:val="333333"/>
          <w:sz w:val="20"/>
          <w:szCs w:val="20"/>
        </w:rPr>
        <w:t xml:space="preserve">Outreach timeline: chronological log of all contacts — calls, voicemails, emails, meetings</w:t>
      </w:r>
    </w:p>
    <w:p>
      <w:pPr>
        <w:pStyle w:val="ListParagraph"/>
        <w:numPr>
          <w:ilvl w:val="0"/>
          <w:numId w:val="8"/>
        </w:numPr>
        <w:spacing w:after="40" w:before="40"/>
      </w:pPr>
      <w:r>
        <w:rPr>
          <w:rFonts w:ascii="Arial" w:cs="Arial" w:eastAsia="Arial" w:hAnsi="Arial"/>
          <w:color w:val="333333"/>
          <w:sz w:val="20"/>
          <w:szCs w:val="20"/>
        </w:rPr>
        <w:t xml:space="preserve">Call recordings + transcripts: linked from Retell, playable inline</w:t>
      </w:r>
    </w:p>
    <w:p>
      <w:pPr>
        <w:pStyle w:val="ListParagraph"/>
        <w:numPr>
          <w:ilvl w:val="0"/>
          <w:numId w:val="8"/>
        </w:numPr>
        <w:spacing w:after="40" w:before="40"/>
      </w:pPr>
      <w:r>
        <w:rPr>
          <w:rFonts w:ascii="Arial" w:cs="Arial" w:eastAsia="Arial" w:hAnsi="Arial"/>
          <w:color w:val="333333"/>
          <w:sz w:val="20"/>
          <w:szCs w:val="20"/>
        </w:rPr>
        <w:t xml:space="preserve">Sentiment history: graph of sentiment scores across all calls</w:t>
      </w:r>
    </w:p>
    <w:p>
      <w:pPr>
        <w:pStyle w:val="ListParagraph"/>
        <w:numPr>
          <w:ilvl w:val="0"/>
          <w:numId w:val="8"/>
        </w:numPr>
        <w:spacing w:after="40" w:before="40"/>
      </w:pPr>
      <w:r>
        <w:rPr>
          <w:rFonts w:ascii="Arial" w:cs="Arial" w:eastAsia="Arial" w:hAnsi="Arial"/>
          <w:color w:val="333333"/>
          <w:sz w:val="20"/>
          <w:szCs w:val="20"/>
        </w:rPr>
        <w:t xml:space="preserve">Notes: free-form notes field for human team members</w:t>
      </w:r>
    </w:p>
    <w:p>
      <w:pPr>
        <w:pStyle w:val="ListParagraph"/>
        <w:numPr>
          <w:ilvl w:val="0"/>
          <w:numId w:val="8"/>
        </w:numPr>
        <w:spacing w:after="40" w:before="40"/>
      </w:pPr>
      <w:r>
        <w:rPr>
          <w:rFonts w:ascii="Arial" w:cs="Arial" w:eastAsia="Arial" w:hAnsi="Arial"/>
          <w:color w:val="333333"/>
          <w:sz w:val="20"/>
          <w:szCs w:val="20"/>
        </w:rPr>
        <w:t xml:space="preserve">Outreach brief: LLM-generated pitch angle, regenerable on demand</w:t>
      </w:r>
    </w:p>
    <w:p>
      <w:pPr>
        <w:spacing w:after="120" w:before="200"/>
      </w:pPr>
      <w:r>
        <w:rPr>
          <w:rFonts w:ascii="Arial" w:cs="Arial" w:eastAsia="Arial" w:hAnsi="Arial"/>
          <w:b/>
          <w:bCs/>
          <w:color w:val="333333"/>
          <w:sz w:val="22"/>
          <w:szCs w:val="22"/>
        </w:rPr>
        <w:t xml:space="preserve">Filters and Search</w:t>
      </w:r>
    </w:p>
    <w:p>
      <w:pPr>
        <w:pStyle w:val="ListParagraph"/>
        <w:numPr>
          <w:ilvl w:val="0"/>
          <w:numId w:val="9"/>
        </w:numPr>
        <w:spacing w:after="40" w:before="40"/>
      </w:pPr>
      <w:r>
        <w:rPr>
          <w:rFonts w:ascii="Arial" w:cs="Arial" w:eastAsia="Arial" w:hAnsi="Arial"/>
          <w:color w:val="333333"/>
          <w:sz w:val="20"/>
          <w:szCs w:val="20"/>
        </w:rPr>
        <w:t xml:space="preserve">Filter by: zip code, niche, pipeline stage, acquisition score range, price tier, date range, assigned team member</w:t>
      </w:r>
    </w:p>
    <w:p>
      <w:pPr>
        <w:pStyle w:val="ListParagraph"/>
        <w:numPr>
          <w:ilvl w:val="0"/>
          <w:numId w:val="9"/>
        </w:numPr>
        <w:spacing w:after="40" w:before="40"/>
      </w:pPr>
      <w:r>
        <w:rPr>
          <w:rFonts w:ascii="Arial" w:cs="Arial" w:eastAsia="Arial" w:hAnsi="Arial"/>
          <w:color w:val="333333"/>
          <w:sz w:val="20"/>
          <w:szCs w:val="20"/>
        </w:rPr>
        <w:t xml:space="preserve">Sort by: acquisition score, days in stage, last contact date, sentiment score</w:t>
      </w:r>
    </w:p>
    <w:p>
      <w:pPr>
        <w:pStyle w:val="ListParagraph"/>
        <w:numPr>
          <w:ilvl w:val="0"/>
          <w:numId w:val="9"/>
        </w:numPr>
        <w:spacing w:after="40" w:before="40"/>
      </w:pPr>
      <w:r>
        <w:rPr>
          <w:rFonts w:ascii="Arial" w:cs="Arial" w:eastAsia="Arial" w:hAnsi="Arial"/>
          <w:color w:val="333333"/>
          <w:sz w:val="20"/>
          <w:szCs w:val="20"/>
        </w:rPr>
        <w:t xml:space="preserve">Search: business name, owner name, phone, address</w:t>
      </w:r>
    </w:p>
    <w:p>
      <w:pPr>
        <w:spacing w:after="120" w:before="200"/>
      </w:pPr>
      <w:r>
        <w:rPr>
          <w:rFonts w:ascii="Arial" w:cs="Arial" w:eastAsia="Arial" w:hAnsi="Arial"/>
          <w:b/>
          <w:bCs/>
          <w:color w:val="333333"/>
          <w:sz w:val="22"/>
          <w:szCs w:val="22"/>
        </w:rPr>
        <w:t xml:space="preserve">Reporting</w:t>
      </w:r>
    </w:p>
    <w:p>
      <w:pPr>
        <w:pStyle w:val="ListParagraph"/>
        <w:numPr>
          <w:ilvl w:val="0"/>
          <w:numId w:val="2"/>
        </w:numPr>
        <w:spacing w:after="40" w:before="40"/>
      </w:pPr>
      <w:r>
        <w:rPr>
          <w:rFonts w:ascii="Arial" w:cs="Arial" w:eastAsia="Arial" w:hAnsi="Arial"/>
          <w:color w:val="333333"/>
          <w:sz w:val="20"/>
          <w:szCs w:val="20"/>
        </w:rPr>
        <w:t xml:space="preserve">Pipeline conversion rates: stage-to-stage conversion with average time in each stage</w:t>
      </w:r>
    </w:p>
    <w:p>
      <w:pPr>
        <w:pStyle w:val="ListParagraph"/>
        <w:numPr>
          <w:ilvl w:val="0"/>
          <w:numId w:val="2"/>
        </w:numPr>
        <w:spacing w:after="40" w:before="40"/>
      </w:pPr>
      <w:r>
        <w:rPr>
          <w:rFonts w:ascii="Arial" w:cs="Arial" w:eastAsia="Arial" w:hAnsi="Arial"/>
          <w:color w:val="333333"/>
          <w:sz w:val="20"/>
          <w:szCs w:val="20"/>
        </w:rPr>
        <w:t xml:space="preserve">Score calibration: actual outcomes (Won/Lost) correlated with predicted acquisition scores</w:t>
      </w:r>
    </w:p>
    <w:p>
      <w:pPr>
        <w:pStyle w:val="ListParagraph"/>
        <w:numPr>
          <w:ilvl w:val="0"/>
          <w:numId w:val="2"/>
        </w:numPr>
        <w:spacing w:after="40" w:before="40"/>
      </w:pPr>
      <w:r>
        <w:rPr>
          <w:rFonts w:ascii="Arial" w:cs="Arial" w:eastAsia="Arial" w:hAnsi="Arial"/>
          <w:color w:val="333333"/>
          <w:sz w:val="20"/>
          <w:szCs w:val="20"/>
        </w:rPr>
        <w:t xml:space="preserve">Outreach efficiency: calls made, answer rate, meeting rate, close rate</w:t>
      </w:r>
    </w:p>
    <w:p>
      <w:pPr>
        <w:pStyle w:val="ListParagraph"/>
        <w:numPr>
          <w:ilvl w:val="0"/>
          <w:numId w:val="2"/>
        </w:numPr>
        <w:spacing w:after="40" w:before="40"/>
      </w:pPr>
      <w:r>
        <w:rPr>
          <w:rFonts w:ascii="Arial" w:cs="Arial" w:eastAsia="Arial" w:hAnsi="Arial"/>
          <w:color w:val="333333"/>
          <w:sz w:val="20"/>
          <w:szCs w:val="20"/>
        </w:rPr>
        <w:t xml:space="preserve">Revenue: total pipeline value, won value, average contract size by niche and tier</w:t>
      </w:r>
    </w:p>
    <w:p>
      <w:pPr>
        <w:pStyle w:val="Heading1"/>
        <w:pBdr>
          <w:bottom w:val="single" w:color="2D5F8A" w:sz="4" w:space="6"/>
        </w:pBdr>
        <w:spacing w:after="200" w:before="360"/>
      </w:pPr>
      <w:r>
        <w:rPr>
          <w:rFonts w:ascii="Arial" w:cs="Arial" w:eastAsia="Arial" w:hAnsi="Arial"/>
          <w:b/>
          <w:bCs/>
          <w:color w:val="1A1A1A"/>
          <w:sz w:val="28"/>
          <w:szCs w:val="28"/>
        </w:rPr>
        <w:t xml:space="preserve">7. Geographic Targeting</w:t>
      </w:r>
    </w:p>
    <w:p>
      <w:pPr>
        <w:pStyle w:val="Heading2"/>
        <w:spacing w:after="160" w:before="280"/>
      </w:pPr>
      <w:r>
        <w:rPr>
          <w:rFonts w:ascii="Arial" w:cs="Arial" w:eastAsia="Arial" w:hAnsi="Arial"/>
          <w:b/>
          <w:bCs/>
          <w:color w:val="2D5F8A"/>
          <w:sz w:val="24"/>
          <w:szCs w:val="24"/>
        </w:rPr>
        <w:t xml:space="preserve">7.1 Zip Code Input Modes</w:t>
      </w:r>
    </w:p>
    <w:p>
      <w:pPr>
        <w:pStyle w:val="ListParagraph"/>
        <w:numPr>
          <w:ilvl w:val="0"/>
          <w:numId w:val="2"/>
        </w:numPr>
        <w:spacing w:after="40" w:before="40"/>
      </w:pPr>
      <w:r>
        <w:rPr>
          <w:rFonts w:ascii="Arial" w:cs="Arial" w:eastAsia="Arial" w:hAnsi="Arial"/>
          <w:color w:val="333333"/>
          <w:sz w:val="20"/>
          <w:szCs w:val="20"/>
        </w:rPr>
        <w:t xml:space="preserve">Single zip code: Scrape and score one zip for all target verticals or a specified subset.</w:t>
      </w:r>
    </w:p>
    <w:p>
      <w:pPr>
        <w:pStyle w:val="ListParagraph"/>
        <w:numPr>
          <w:ilvl w:val="0"/>
          <w:numId w:val="2"/>
        </w:numPr>
        <w:spacing w:after="40" w:before="40"/>
      </w:pPr>
      <w:r>
        <w:rPr>
          <w:rFonts w:ascii="Arial" w:cs="Arial" w:eastAsia="Arial" w:hAnsi="Arial"/>
          <w:color w:val="333333"/>
          <w:sz w:val="20"/>
          <w:szCs w:val="20"/>
        </w:rPr>
        <w:t xml:space="preserve">Zip code list: Comma-separated or file-uploaded list of specific zip codes.</w:t>
      </w:r>
    </w:p>
    <w:p>
      <w:pPr>
        <w:pStyle w:val="ListParagraph"/>
        <w:numPr>
          <w:ilvl w:val="0"/>
          <w:numId w:val="2"/>
        </w:numPr>
        <w:spacing w:after="40" w:before="40"/>
      </w:pPr>
      <w:r>
        <w:rPr>
          <w:rFonts w:ascii="Arial" w:cs="Arial" w:eastAsia="Arial" w:hAnsi="Arial"/>
          <w:color w:val="333333"/>
          <w:sz w:val="20"/>
          <w:szCs w:val="20"/>
        </w:rPr>
        <w:t xml:space="preserve">Radius mode: Given a center point (address or zip), select all Chicago zip codes within N miles.</w:t>
      </w:r>
    </w:p>
    <w:p>
      <w:pPr>
        <w:pStyle w:val="Heading2"/>
        <w:spacing w:after="160" w:before="280"/>
      </w:pPr>
      <w:r>
        <w:rPr>
          <w:rFonts w:ascii="Arial" w:cs="Arial" w:eastAsia="Arial" w:hAnsi="Arial"/>
          <w:b/>
          <w:bCs/>
          <w:color w:val="2D5F8A"/>
          <w:sz w:val="24"/>
          <w:szCs w:val="24"/>
        </w:rPr>
        <w:t xml:space="preserve">7.2 Recommended Initial Targeting</w:t>
      </w:r>
    </w:p>
    <w:p>
      <w:pPr>
        <w:spacing w:after="80" w:before="80"/>
        <w:jc w:val="left"/>
      </w:pPr>
      <w:r>
        <w:rPr>
          <w:rFonts w:ascii="Arial" w:cs="Arial" w:eastAsia="Arial" w:hAnsi="Arial"/>
          <w:b w:val="false"/>
          <w:bCs w:val="false"/>
          <w:i w:val="false"/>
          <w:iCs w:val="false"/>
          <w:color w:val="333333"/>
          <w:sz w:val="20"/>
          <w:szCs w:val="20"/>
        </w:rPr>
        <w:t xml:space="preserve">South Shore (60649), Auburn Gresham (60620), Chatham (60619), Humboldt Park (60647), Back of the Yards (60609), Pilsen (60608), Little Village (60623), and Englewood (60621). These areas have high small business density, lower digital maturity on average, and lower likelihood of existing agency relationships. Validate against actual Chicago Data Portal license counts before committing outreach resources.</w:t>
      </w:r>
    </w:p>
    <w:p>
      <w:r>
        <w:br w:type="page"/>
      </w:r>
    </w:p>
    <w:p>
      <w:pPr>
        <w:pStyle w:val="Heading1"/>
        <w:pBdr>
          <w:bottom w:val="single" w:color="2D5F8A" w:sz="4" w:space="6"/>
        </w:pBdr>
        <w:spacing w:after="200" w:before="360"/>
      </w:pPr>
      <w:r>
        <w:rPr>
          <w:rFonts w:ascii="Arial" w:cs="Arial" w:eastAsia="Arial" w:hAnsi="Arial"/>
          <w:b/>
          <w:bCs/>
          <w:color w:val="1A1A1A"/>
          <w:sz w:val="28"/>
          <w:szCs w:val="28"/>
        </w:rPr>
        <w:t xml:space="preserve">8. Development Roadmap</w:t>
      </w:r>
    </w:p>
    <w:p>
      <w:pPr>
        <w:pStyle w:val="Heading2"/>
        <w:spacing w:after="160" w:before="280"/>
      </w:pPr>
      <w:r>
        <w:rPr>
          <w:rFonts w:ascii="Arial" w:cs="Arial" w:eastAsia="Arial" w:hAnsi="Arial"/>
          <w:b/>
          <w:bCs/>
          <w:color w:val="2D5F8A"/>
          <w:sz w:val="24"/>
          <w:szCs w:val="24"/>
        </w:rPr>
        <w:t xml:space="preserve">Phase 1: Data Pipeline MVP (Weeks 1–4)</w:t>
      </w:r>
    </w:p>
    <w:p>
      <w:pPr>
        <w:pStyle w:val="ListParagraph"/>
        <w:numPr>
          <w:ilvl w:val="0"/>
          <w:numId w:val="2"/>
        </w:numPr>
        <w:spacing w:after="40" w:before="40"/>
      </w:pPr>
      <w:r>
        <w:rPr>
          <w:rFonts w:ascii="Arial" w:cs="Arial" w:eastAsia="Arial" w:hAnsi="Arial"/>
          <w:color w:val="333333"/>
          <w:sz w:val="20"/>
          <w:szCs w:val="20"/>
        </w:rPr>
        <w:t xml:space="preserve">Scrapling setup with StealthyFetcher and PlayWrightFetcher for DFPR/SOS automation.</w:t>
      </w:r>
    </w:p>
    <w:p>
      <w:pPr>
        <w:pStyle w:val="ListParagraph"/>
        <w:numPr>
          <w:ilvl w:val="0"/>
          <w:numId w:val="2"/>
        </w:numPr>
        <w:spacing w:after="40" w:before="40"/>
      </w:pPr>
      <w:r>
        <w:rPr>
          <w:rFonts w:ascii="Arial" w:cs="Arial" w:eastAsia="Arial" w:hAnsi="Arial"/>
          <w:color w:val="333333"/>
          <w:sz w:val="20"/>
          <w:szCs w:val="20"/>
        </w:rPr>
        <w:t xml:space="preserve">Chicago Data Portal Socrata API integration (business licenses by zip + category).</w:t>
      </w:r>
    </w:p>
    <w:p>
      <w:pPr>
        <w:pStyle w:val="ListParagraph"/>
        <w:numPr>
          <w:ilvl w:val="0"/>
          <w:numId w:val="2"/>
        </w:numPr>
        <w:spacing w:after="40" w:before="40"/>
      </w:pPr>
      <w:r>
        <w:rPr>
          <w:rFonts w:ascii="Arial" w:cs="Arial" w:eastAsia="Arial" w:hAnsi="Arial"/>
          <w:color w:val="333333"/>
          <w:sz w:val="20"/>
          <w:szCs w:val="20"/>
        </w:rPr>
        <w:t xml:space="preserve">Google Places API enrichment.</w:t>
      </w:r>
    </w:p>
    <w:p>
      <w:pPr>
        <w:pStyle w:val="ListParagraph"/>
        <w:numPr>
          <w:ilvl w:val="0"/>
          <w:numId w:val="2"/>
        </w:numPr>
        <w:spacing w:after="40" w:before="40"/>
      </w:pPr>
      <w:r>
        <w:rPr>
          <w:rFonts w:ascii="Arial" w:cs="Arial" w:eastAsia="Arial" w:hAnsi="Arial"/>
          <w:color w:val="333333"/>
          <w:sz w:val="20"/>
          <w:szCs w:val="20"/>
        </w:rPr>
        <w:t xml:space="preserve">Basic digital deficit scoring (website, GBP, reviews).</w:t>
      </w:r>
    </w:p>
    <w:p>
      <w:pPr>
        <w:pStyle w:val="ListParagraph"/>
        <w:numPr>
          <w:ilvl w:val="0"/>
          <w:numId w:val="2"/>
        </w:numPr>
        <w:spacing w:after="40" w:before="40"/>
      </w:pPr>
      <w:r>
        <w:rPr>
          <w:rFonts w:ascii="Arial" w:cs="Arial" w:eastAsia="Arial" w:hAnsi="Arial"/>
          <w:color w:val="333333"/>
          <w:sz w:val="20"/>
          <w:szCs w:val="20"/>
        </w:rPr>
        <w:t xml:space="preserve">PostgreSQL + PostGIS data model. CSV export.</w:t>
      </w:r>
    </w:p>
    <w:p>
      <w:pPr>
        <w:pStyle w:val="ListParagraph"/>
        <w:numPr>
          <w:ilvl w:val="0"/>
          <w:numId w:val="2"/>
        </w:numPr>
        <w:spacing w:after="40" w:before="40"/>
      </w:pPr>
      <w:r>
        <w:rPr>
          <w:rFonts w:ascii="Arial" w:cs="Arial" w:eastAsia="Arial" w:hAnsi="Arial"/>
          <w:color w:val="333333"/>
          <w:sz w:val="20"/>
          <w:szCs w:val="20"/>
        </w:rPr>
        <w:t xml:space="preserve">CLI: python leadforge.py --zip 60619 --niche barbershops</w:t>
      </w:r>
    </w:p>
    <w:p>
      <w:pPr>
        <w:pStyle w:val="Heading2"/>
        <w:spacing w:after="160" w:before="280"/>
      </w:pPr>
      <w:r>
        <w:rPr>
          <w:rFonts w:ascii="Arial" w:cs="Arial" w:eastAsia="Arial" w:hAnsi="Arial"/>
          <w:b/>
          <w:bCs/>
          <w:color w:val="2D5F8A"/>
          <w:sz w:val="24"/>
          <w:szCs w:val="24"/>
        </w:rPr>
        <w:t xml:space="preserve">Phase 2: Full Scoring + Platform Scrapers (Weeks 5–8)</w:t>
      </w:r>
    </w:p>
    <w:p>
      <w:pPr>
        <w:pStyle w:val="ListParagraph"/>
        <w:numPr>
          <w:ilvl w:val="0"/>
          <w:numId w:val="2"/>
        </w:numPr>
        <w:spacing w:after="40" w:before="40"/>
      </w:pPr>
      <w:r>
        <w:rPr>
          <w:rFonts w:ascii="Arial" w:cs="Arial" w:eastAsia="Arial" w:hAnsi="Arial"/>
          <w:color w:val="333333"/>
          <w:sz w:val="20"/>
          <w:szCs w:val="20"/>
        </w:rPr>
        <w:t xml:space="preserve">DFPR and IL SOS headless scraping via Scrapling.</w:t>
      </w:r>
    </w:p>
    <w:p>
      <w:pPr>
        <w:pStyle w:val="ListParagraph"/>
        <w:numPr>
          <w:ilvl w:val="0"/>
          <w:numId w:val="2"/>
        </w:numPr>
        <w:spacing w:after="40" w:before="40"/>
      </w:pPr>
      <w:r>
        <w:rPr>
          <w:rFonts w:ascii="Arial" w:cs="Arial" w:eastAsia="Arial" w:hAnsi="Arial"/>
          <w:color w:val="333333"/>
          <w:sz w:val="20"/>
          <w:szCs w:val="20"/>
        </w:rPr>
        <w:t xml:space="preserve">Custom Scrapling scrapers for Nextdoor (with automated cookie refresh), Craigslist, Thumbtack, and Angi.</w:t>
      </w:r>
    </w:p>
    <w:p>
      <w:pPr>
        <w:pStyle w:val="ListParagraph"/>
        <w:numPr>
          <w:ilvl w:val="0"/>
          <w:numId w:val="2"/>
        </w:numPr>
        <w:spacing w:after="40" w:before="40"/>
      </w:pPr>
      <w:r>
        <w:rPr>
          <w:rFonts w:ascii="Arial" w:cs="Arial" w:eastAsia="Arial" w:hAnsi="Arial"/>
          <w:color w:val="333333"/>
          <w:sz w:val="20"/>
          <w:szCs w:val="20"/>
        </w:rPr>
        <w:t xml:space="preserve">Apify integration for Meta platforms only: Instagram, Facebook, Threads, Meta Ad Library.</w:t>
      </w:r>
    </w:p>
    <w:p>
      <w:pPr>
        <w:pStyle w:val="ListParagraph"/>
        <w:numPr>
          <w:ilvl w:val="0"/>
          <w:numId w:val="2"/>
        </w:numPr>
        <w:spacing w:after="40" w:before="40"/>
      </w:pPr>
      <w:r>
        <w:rPr>
          <w:rFonts w:ascii="Arial" w:cs="Arial" w:eastAsia="Arial" w:hAnsi="Arial"/>
          <w:color w:val="333333"/>
          <w:sz w:val="20"/>
          <w:szCs w:val="20"/>
        </w:rPr>
        <w:t xml:space="preserve">Yelp Fusion, PageSpeed, WHOIS enrichment.</w:t>
      </w:r>
    </w:p>
    <w:p>
      <w:pPr>
        <w:pStyle w:val="ListParagraph"/>
        <w:numPr>
          <w:ilvl w:val="0"/>
          <w:numId w:val="2"/>
        </w:numPr>
        <w:spacing w:after="40" w:before="40"/>
      </w:pPr>
      <w:r>
        <w:rPr>
          <w:rFonts w:ascii="Arial" w:cs="Arial" w:eastAsia="Arial" w:hAnsi="Arial"/>
          <w:color w:val="333333"/>
          <w:sz w:val="20"/>
          <w:szCs w:val="20"/>
        </w:rPr>
        <w:t xml:space="preserve">Complete three-factor scoring model.</w:t>
      </w:r>
    </w:p>
    <w:p>
      <w:pPr>
        <w:pStyle w:val="ListParagraph"/>
        <w:numPr>
          <w:ilvl w:val="0"/>
          <w:numId w:val="2"/>
        </w:numPr>
        <w:spacing w:after="40" w:before="40"/>
      </w:pPr>
      <w:r>
        <w:rPr>
          <w:rFonts w:ascii="Arial" w:cs="Arial" w:eastAsia="Arial" w:hAnsi="Arial"/>
          <w:color w:val="333333"/>
          <w:sz w:val="20"/>
          <w:szCs w:val="20"/>
        </w:rPr>
        <w:t xml:space="preserve">Competitive context computation per zip-niche pair.</w:t>
      </w:r>
    </w:p>
    <w:p>
      <w:pPr>
        <w:pStyle w:val="ListParagraph"/>
        <w:numPr>
          <w:ilvl w:val="0"/>
          <w:numId w:val="2"/>
        </w:numPr>
        <w:spacing w:after="40" w:before="40"/>
      </w:pPr>
      <w:r>
        <w:rPr>
          <w:rFonts w:ascii="Arial" w:cs="Arial" w:eastAsia="Arial" w:hAnsi="Arial"/>
          <w:color w:val="333333"/>
          <w:sz w:val="20"/>
          <w:szCs w:val="20"/>
        </w:rPr>
        <w:t xml:space="preserve">Census data integration.</w:t>
      </w:r>
    </w:p>
    <w:p>
      <w:pPr>
        <w:pStyle w:val="ListParagraph"/>
        <w:numPr>
          <w:ilvl w:val="0"/>
          <w:numId w:val="2"/>
        </w:numPr>
        <w:spacing w:after="40" w:before="40"/>
      </w:pPr>
      <w:r>
        <w:rPr>
          <w:rFonts w:ascii="Arial" w:cs="Arial" w:eastAsia="Arial" w:hAnsi="Arial"/>
          <w:color w:val="333333"/>
          <w:sz w:val="20"/>
          <w:szCs w:val="20"/>
        </w:rPr>
        <w:t xml:space="preserve">vLLM CPU backend deployment (Docker, quantized Llama 3.1 8B) for entity resolution and extraction tasks.</w:t>
      </w:r>
    </w:p>
    <w:p>
      <w:pPr>
        <w:pStyle w:val="Heading2"/>
        <w:spacing w:after="160" w:before="280"/>
      </w:pPr>
      <w:r>
        <w:rPr>
          <w:rFonts w:ascii="Arial" w:cs="Arial" w:eastAsia="Arial" w:hAnsi="Arial"/>
          <w:b/>
          <w:bCs/>
          <w:color w:val="2D5F8A"/>
          <w:sz w:val="24"/>
          <w:szCs w:val="24"/>
        </w:rPr>
        <w:t xml:space="preserve">Phase 3: LLM Integration + Voice Outreach (Weeks 9–12)</w:t>
      </w:r>
    </w:p>
    <w:p>
      <w:pPr>
        <w:pStyle w:val="ListParagraph"/>
        <w:numPr>
          <w:ilvl w:val="0"/>
          <w:numId w:val="2"/>
        </w:numPr>
        <w:spacing w:after="40" w:before="40"/>
      </w:pPr>
      <w:r>
        <w:rPr>
          <w:rFonts w:ascii="Arial" w:cs="Arial" w:eastAsia="Arial" w:hAnsi="Arial"/>
          <w:color w:val="333333"/>
          <w:sz w:val="20"/>
          <w:szCs w:val="20"/>
        </w:rPr>
        <w:t xml:space="preserve">OpenRouter integration as unified API routing layer for all external LLM calls.</w:t>
      </w:r>
    </w:p>
    <w:p>
      <w:pPr>
        <w:pStyle w:val="ListParagraph"/>
        <w:numPr>
          <w:ilvl w:val="0"/>
          <w:numId w:val="2"/>
        </w:numPr>
        <w:spacing w:after="40" w:before="40"/>
      </w:pPr>
      <w:r>
        <w:rPr>
          <w:rFonts w:ascii="Arial" w:cs="Arial" w:eastAsia="Arial" w:hAnsi="Arial"/>
          <w:color w:val="333333"/>
          <w:sz w:val="20"/>
          <w:szCs w:val="20"/>
        </w:rPr>
        <w:t xml:space="preserve">Claude Sonnet (via OpenRouter) for outreach brief generation.</w:t>
      </w:r>
    </w:p>
    <w:p>
      <w:pPr>
        <w:pStyle w:val="ListParagraph"/>
        <w:numPr>
          <w:ilvl w:val="0"/>
          <w:numId w:val="2"/>
        </w:numPr>
        <w:spacing w:after="40" w:before="40"/>
      </w:pPr>
      <w:r>
        <w:rPr>
          <w:rFonts w:ascii="Arial" w:cs="Arial" w:eastAsia="Arial" w:hAnsi="Arial"/>
          <w:color w:val="333333"/>
          <w:sz w:val="20"/>
          <w:szCs w:val="20"/>
        </w:rPr>
        <w:t xml:space="preserve">A/B validation of DeepSeek V3.2 vs. Claude Sonnet on GBP assessment and sentiment analysis using 200-record test set. Commit to cheaper model if quality gap &lt; 5% on structured classification.</w:t>
      </w:r>
    </w:p>
    <w:p>
      <w:pPr>
        <w:pStyle w:val="ListParagraph"/>
        <w:numPr>
          <w:ilvl w:val="0"/>
          <w:numId w:val="2"/>
        </w:numPr>
        <w:spacing w:after="40" w:before="40"/>
      </w:pPr>
      <w:r>
        <w:rPr>
          <w:rFonts w:ascii="Arial" w:cs="Arial" w:eastAsia="Arial" w:hAnsi="Arial"/>
          <w:color w:val="333333"/>
          <w:sz w:val="20"/>
          <w:szCs w:val="20"/>
        </w:rPr>
        <w:t xml:space="preserve">Retell AI integration: agent configuration, call flow scripting, webhook handler.</w:t>
      </w:r>
    </w:p>
    <w:p>
      <w:pPr>
        <w:pStyle w:val="ListParagraph"/>
        <w:numPr>
          <w:ilvl w:val="0"/>
          <w:numId w:val="2"/>
        </w:numPr>
        <w:spacing w:after="40" w:before="40"/>
      </w:pPr>
      <w:r>
        <w:rPr>
          <w:rFonts w:ascii="Arial" w:cs="Arial" w:eastAsia="Arial" w:hAnsi="Arial"/>
          <w:color w:val="333333"/>
          <w:sz w:val="20"/>
          <w:szCs w:val="20"/>
        </w:rPr>
        <w:t xml:space="preserve">Sentiment analysis pipeline routed through OpenRouter (default model determined by A/B validation).</w:t>
      </w:r>
    </w:p>
    <w:p>
      <w:pPr>
        <w:pStyle w:val="ListParagraph"/>
        <w:numPr>
          <w:ilvl w:val="0"/>
          <w:numId w:val="2"/>
        </w:numPr>
        <w:spacing w:after="40" w:before="40"/>
      </w:pPr>
      <w:r>
        <w:rPr>
          <w:rFonts w:ascii="Arial" w:cs="Arial" w:eastAsia="Arial" w:hAnsi="Arial"/>
          <w:color w:val="333333"/>
          <w:sz w:val="20"/>
          <w:szCs w:val="20"/>
        </w:rPr>
        <w:t xml:space="preserve">Sentiment feedback loop into acquisition score.</w:t>
      </w:r>
    </w:p>
    <w:p>
      <w:pPr>
        <w:pStyle w:val="Heading2"/>
        <w:spacing w:after="160" w:before="280"/>
      </w:pPr>
      <w:r>
        <w:rPr>
          <w:rFonts w:ascii="Arial" w:cs="Arial" w:eastAsia="Arial" w:hAnsi="Arial"/>
          <w:b/>
          <w:bCs/>
          <w:color w:val="2D5F8A"/>
          <w:sz w:val="24"/>
          <w:szCs w:val="24"/>
        </w:rPr>
        <w:t xml:space="preserve">Phase 4: CRM + Dashboard (Weeks 13–16)</w:t>
      </w:r>
    </w:p>
    <w:p>
      <w:pPr>
        <w:pStyle w:val="ListParagraph"/>
        <w:numPr>
          <w:ilvl w:val="0"/>
          <w:numId w:val="2"/>
        </w:numPr>
        <w:spacing w:after="40" w:before="40"/>
      </w:pPr>
      <w:r>
        <w:rPr>
          <w:rFonts w:ascii="Arial" w:cs="Arial" w:eastAsia="Arial" w:hAnsi="Arial"/>
          <w:color w:val="333333"/>
          <w:sz w:val="20"/>
          <w:szCs w:val="20"/>
        </w:rPr>
        <w:t xml:space="preserve">FastAPI endpoints for full CRUD on leads, outreach records, pipeline operations.</w:t>
      </w:r>
    </w:p>
    <w:p>
      <w:pPr>
        <w:pStyle w:val="ListParagraph"/>
        <w:numPr>
          <w:ilvl w:val="0"/>
          <w:numId w:val="2"/>
        </w:numPr>
        <w:spacing w:after="40" w:before="40"/>
      </w:pPr>
      <w:r>
        <w:rPr>
          <w:rFonts w:ascii="Arial" w:cs="Arial" w:eastAsia="Arial" w:hAnsi="Arial"/>
          <w:color w:val="333333"/>
          <w:sz w:val="20"/>
          <w:szCs w:val="20"/>
        </w:rPr>
        <w:t xml:space="preserve">React + Tailwind CRM: pipeline board, lead detail, filters, search.</w:t>
      </w:r>
    </w:p>
    <w:p>
      <w:pPr>
        <w:pStyle w:val="ListParagraph"/>
        <w:numPr>
          <w:ilvl w:val="0"/>
          <w:numId w:val="2"/>
        </w:numPr>
        <w:spacing w:after="40" w:before="40"/>
      </w:pPr>
      <w:r>
        <w:rPr>
          <w:rFonts w:ascii="Arial" w:cs="Arial" w:eastAsia="Arial" w:hAnsi="Arial"/>
          <w:color w:val="333333"/>
          <w:sz w:val="20"/>
          <w:szCs w:val="20"/>
        </w:rPr>
        <w:t xml:space="preserve">Call recording/transcript integration from Retell.</w:t>
      </w:r>
    </w:p>
    <w:p>
      <w:pPr>
        <w:pStyle w:val="ListParagraph"/>
        <w:numPr>
          <w:ilvl w:val="0"/>
          <w:numId w:val="2"/>
        </w:numPr>
        <w:spacing w:after="40" w:before="40"/>
      </w:pPr>
      <w:r>
        <w:rPr>
          <w:rFonts w:ascii="Arial" w:cs="Arial" w:eastAsia="Arial" w:hAnsi="Arial"/>
          <w:color w:val="333333"/>
          <w:sz w:val="20"/>
          <w:szCs w:val="20"/>
        </w:rPr>
        <w:t xml:space="preserve">Reporting views: conversion rates, score calibration, revenue tracking.</w:t>
      </w:r>
    </w:p>
    <w:p>
      <w:pPr>
        <w:pStyle w:val="ListParagraph"/>
        <w:numPr>
          <w:ilvl w:val="0"/>
          <w:numId w:val="2"/>
        </w:numPr>
        <w:spacing w:after="40" w:before="40"/>
      </w:pPr>
      <w:r>
        <w:rPr>
          <w:rFonts w:ascii="Arial" w:cs="Arial" w:eastAsia="Arial" w:hAnsi="Arial"/>
          <w:color w:val="333333"/>
          <w:sz w:val="20"/>
          <w:szCs w:val="20"/>
        </w:rPr>
        <w:t xml:space="preserve">Automated 90-day recalibration trigger: Celery scheduled task that fires at day 90 post-deployment and every 90 days thereafter. It pulls all Won/Lost outcomes, computes correlation between sub-score weights and actual close rates, generates a recalibration report with proposed weight adjustments, and queues it for operator review. If the operator approves, new weights are applied to all uncontacted leads. The trigger also flags if sample size is insufficient (&lt; 50 Won + Lost outcomes) and recommends extending the cycle.</w:t>
      </w:r>
    </w:p>
    <w:p>
      <w:pPr>
        <w:pStyle w:val="Heading1"/>
        <w:pBdr>
          <w:bottom w:val="single" w:color="2D5F8A" w:sz="4" w:space="6"/>
        </w:pBdr>
        <w:spacing w:after="200" w:before="360"/>
      </w:pPr>
      <w:r>
        <w:rPr>
          <w:rFonts w:ascii="Arial" w:cs="Arial" w:eastAsia="Arial" w:hAnsi="Arial"/>
          <w:b/>
          <w:bCs/>
          <w:color w:val="1A1A1A"/>
          <w:sz w:val="28"/>
          <w:szCs w:val="28"/>
        </w:rP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00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4160"/>
            <w:tcBorders>
              <w:top w:val="single" w:color="CCCCCC" w:sz="1"/>
              <w:left w:val="single" w:color="CCCCCC" w:sz="1"/>
              <w:bottom w:val="single" w:color="CCCCCC" w:sz="1"/>
              <w:right w:val="single" w:color="CCCCCC" w:sz="1"/>
            </w:tcBorders>
            <w:shd w:fill="2D5F8A" w:val="clear"/>
            <w:tcMar>
              <w:top w:type="dxa" w:w="80"/>
              <w:left w:type="dxa" w:w="120"/>
              <w:bottom w:type="dxa" w:w="80"/>
              <w:right w:type="dxa" w:w="120"/>
            </w:tcMar>
          </w:tcPr>
          <w:p>
            <w:r>
              <w:rPr>
                <w:rFonts w:ascii="Arial" w:cs="Arial" w:eastAsia="Arial" w:hAnsi="Arial"/>
                <w:b/>
                <w:bCs/>
                <w:color w:val="FFFFFF"/>
                <w:sz w:val="18"/>
                <w:szCs w:val="18"/>
              </w:rPr>
              <w:t xml:space="preserve">Measurement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Lead accuracy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&gt; 85% valid current contact info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Spot-check 50 leads/batch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Score-to-close correlation</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Tier A closes at 2x+ Tier C rate</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Compare close rates by tier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Price tier accuracy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&gt; 70% closed deals in predicted range (post-bootstrap)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Actual contract vs. predicted tier; bootstrap-phase deviations tracked separately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Voice agent answer rate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&gt; 35% of calls answered</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Retell call disposition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Meeting scheduling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&gt; 15% of answered calls → meeting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Retell appointment data</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Outreach → close rate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&gt; 5% from first contact to Won</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Pipeline conversion tracking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Pipeline velocity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500 leads scraped+scored per batch &lt; 2 hours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End-to-end pipeline timing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Client acquisition cost</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&lt; $50 in time + API costs per Won client</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18"/>
                <w:szCs w:val="18"/>
              </w:rPr>
              <w:t xml:space="preserve">Total pipeline cost / Won count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Sentiment accuracy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&gt; 80% agreement with human review on 50-call sample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Human audit of sentiment classifications</w:t>
            </w:r>
          </w:p>
        </w:tc>
      </w:tr>
    </w:tbl>
    <w:p>
      <w:pPr>
        <w:pStyle w:val="Heading1"/>
        <w:pBdr>
          <w:bottom w:val="single" w:color="2D5F8A" w:sz="4" w:space="6"/>
        </w:pBdr>
        <w:spacing w:after="200" w:before="360"/>
      </w:pPr>
      <w:r>
        <w:rPr>
          <w:rFonts w:ascii="Arial" w:cs="Arial" w:eastAsia="Arial" w:hAnsi="Arial"/>
          <w:b/>
          <w:bCs/>
          <w:color w:val="1A1A1A"/>
          <w:sz w:val="28"/>
          <w:szCs w:val="28"/>
        </w:rPr>
        <w:t xml:space="preserve">10. Open Questions and Risks</w:t>
      </w:r>
    </w:p>
    <w:p>
      <w:pPr>
        <w:pStyle w:val="ListParagraph"/>
        <w:numPr>
          <w:ilvl w:val="0"/>
          <w:numId w:val="10"/>
        </w:numPr>
        <w:spacing w:after="40" w:before="40"/>
      </w:pPr>
      <w:r>
        <w:rPr>
          <w:rFonts w:ascii="Arial" w:cs="Arial" w:eastAsia="Arial" w:hAnsi="Arial"/>
          <w:color w:val="333333"/>
          <w:sz w:val="20"/>
          <w:szCs w:val="20"/>
        </w:rPr>
        <w:t xml:space="preserve">Retell AI voice quality under load. Test with 50+ concurrent calls before committing to production outreach. If latency or quality degrades, Vapi is the self-hosted fallback.</w:t>
      </w:r>
    </w:p>
    <w:p>
      <w:pPr>
        <w:pStyle w:val="ListParagraph"/>
        <w:numPr>
          <w:ilvl w:val="0"/>
          <w:numId w:val="10"/>
        </w:numPr>
        <w:spacing w:after="40" w:before="40"/>
      </w:pPr>
      <w:r>
        <w:rPr>
          <w:rFonts w:ascii="Arial" w:cs="Arial" w:eastAsia="Arial" w:hAnsi="Arial"/>
          <w:color w:val="333333"/>
          <w:sz w:val="20"/>
          <w:szCs w:val="20"/>
        </w:rPr>
        <w:t xml:space="preserve">Small business owner receptivity to AI callers. If answer rates are significantly below 35%, consider human-initiated first touch with AI handling scheduling and follow-up only.</w:t>
      </w:r>
    </w:p>
    <w:p>
      <w:pPr>
        <w:pStyle w:val="ListParagraph"/>
        <w:numPr>
          <w:ilvl w:val="0"/>
          <w:numId w:val="10"/>
        </w:numPr>
        <w:spacing w:after="40" w:before="40"/>
      </w:pPr>
      <w:r>
        <w:rPr>
          <w:rFonts w:ascii="Arial" w:cs="Arial" w:eastAsia="Arial" w:hAnsi="Arial"/>
          <w:color w:val="333333"/>
          <w:sz w:val="20"/>
          <w:szCs w:val="20"/>
        </w:rPr>
        <w:t xml:space="preserve">Apify cost for Meta platforms specifically. With Craigslist, Thumbtack, Angi, and Nextdoor moved to custom Scrapling scrapers, the remaining Apify spend is limited to Instagram, Facebook, and Threads enrichment. At projected volumes this should stay under $80/month, but monitor and evaluate whether Meta enrichment data justifies even that cost after 90 days of outcome data.</w:t>
      </w:r>
    </w:p>
    <w:p>
      <w:pPr>
        <w:pStyle w:val="ListParagraph"/>
        <w:numPr>
          <w:ilvl w:val="0"/>
          <w:numId w:val="10"/>
        </w:numPr>
        <w:spacing w:after="40" w:before="40"/>
      </w:pPr>
      <w:r>
        <w:rPr>
          <w:rFonts w:ascii="Arial" w:cs="Arial" w:eastAsia="Arial" w:hAnsi="Arial"/>
          <w:color w:val="333333"/>
          <w:sz w:val="20"/>
          <w:szCs w:val="20"/>
        </w:rPr>
        <w:t xml:space="preserve">Entity resolution accuracy across 8+ data sources. This is the highest-risk technical challenge. Validate LLM fuzzy matching against a 200-record manual audit before trusting at scale.</w:t>
      </w:r>
    </w:p>
    <w:p>
      <w:pPr>
        <w:pStyle w:val="ListParagraph"/>
        <w:numPr>
          <w:ilvl w:val="0"/>
          <w:numId w:val="10"/>
        </w:numPr>
        <w:spacing w:after="40" w:before="40"/>
      </w:pPr>
      <w:r>
        <w:rPr>
          <w:rFonts w:ascii="Arial" w:cs="Arial" w:eastAsia="Arial" w:hAnsi="Arial"/>
          <w:color w:val="333333"/>
          <w:sz w:val="20"/>
          <w:szCs w:val="20"/>
        </w:rPr>
        <w:t xml:space="preserve">Nextdoor cookie refresh automation must be monitored for account-level risk. Nextdoor may flag or suspend accounts used for automated access. Use a dedicated account, rotate user-agent strings, and keep request volume below detection thresholds. If Nextdoor locks the account, the system degrades gracefully — leads continue scoring without the 5-point Nextdoor recommendation signal.</w:t>
      </w:r>
    </w:p>
    <w:p>
      <w:pPr>
        <w:pStyle w:val="ListParagraph"/>
        <w:numPr>
          <w:ilvl w:val="0"/>
          <w:numId w:val="10"/>
        </w:numPr>
        <w:spacing w:after="40" w:before="40"/>
      </w:pPr>
      <w:r>
        <w:rPr>
          <w:rFonts w:ascii="Arial" w:cs="Arial" w:eastAsia="Arial" w:hAnsi="Arial"/>
          <w:color w:val="333333"/>
          <w:sz w:val="20"/>
          <w:szCs w:val="20"/>
        </w:rPr>
        <w:t xml:space="preserve">Bootstrap pricing flexibility introduces model noise. During the bootstrap phase, actual contract amounts will deviate significantly from predicted tiers because pricing is negotiated to the business’s capability. The recalibration system must account for this by tracking both the predicted tier and the negotiated amount, and distinguishing between “priced down to close” and “tier prediction was wrong.” After the bootstrap phase, tighten ranges and re-evaluate which deviations were strategic versus predictive errors.</w:t>
      </w:r>
    </w:p>
    <w:p>
      <w:pPr>
        <w:pStyle w:val="ListParagraph"/>
        <w:numPr>
          <w:ilvl w:val="0"/>
          <w:numId w:val="10"/>
        </w:numPr>
        <w:spacing w:after="40" w:before="40"/>
      </w:pPr>
      <w:r>
        <w:rPr>
          <w:rFonts w:ascii="Arial" w:cs="Arial" w:eastAsia="Arial" w:hAnsi="Arial"/>
          <w:color w:val="333333"/>
          <w:sz w:val="20"/>
          <w:szCs w:val="20"/>
        </w:rPr>
        <w:t xml:space="preserve">Automated 90-day recalibration trigger is built into Phase 4. The system fires a Celery scheduled task at day 90 and every 90 days thereafter, correlating sub-score weights with actual Won/Lost outcomes and generating a recalibration report for operator review. If sample size is insufficient (&lt; 50 terminal outcomes), the system extends the cycle and alerts the operator.</w:t>
      </w:r>
    </w:p>
    <w:p>
      <w:pPr>
        <w:pStyle w:val="ListParagraph"/>
        <w:numPr>
          <w:ilvl w:val="0"/>
          <w:numId w:val="10"/>
        </w:numPr>
        <w:spacing w:after="40" w:before="40"/>
      </w:pPr>
      <w:r>
        <w:rPr>
          <w:rFonts w:ascii="Arial" w:cs="Arial" w:eastAsia="Arial" w:hAnsi="Arial"/>
          <w:color w:val="333333"/>
          <w:sz w:val="20"/>
          <w:szCs w:val="20"/>
        </w:rPr>
        <w:t xml:space="preserve">TCPA gray area with AI voice agents calling mobile numbers listed as business contacts. Legal review has been approved as a prerequisite before scaling outreach. Conservative approach during bootstrap: flag mobile numbers for human-initiated first touch. Reassess after legal counsel provides guidance.</w:t>
      </w:r>
    </w:p>
    <w:p>
      <w:pPr>
        <w:pStyle w:val="ListParagraph"/>
        <w:numPr>
          <w:ilvl w:val="0"/>
          <w:numId w:val="10"/>
        </w:numPr>
        <w:spacing w:after="40" w:before="40"/>
      </w:pPr>
      <w:r>
        <w:rPr>
          <w:rFonts w:ascii="Arial" w:cs="Arial" w:eastAsia="Arial" w:hAnsi="Arial"/>
          <w:color w:val="333333"/>
          <w:sz w:val="20"/>
          <w:szCs w:val="20"/>
        </w:rPr>
        <w:t xml:space="preserve">OpenRouter model validation cadence. The A/B test in Phase 3 determines initial model assignments, but model pricing and capabilities shift frequently. Build a quarterly revalidation into the recalibration cycle: re-run the 200-record test set against current cheapest models and reassign if a newer model matches quality at lower cost. OpenRouter’s model catalog makes this a configuration change, not a code change.</w:t>
      </w:r>
    </w:p>
    <w:p>
      <w:pPr>
        <w:pStyle w:val="ListParagraph"/>
        <w:numPr>
          <w:ilvl w:val="0"/>
          <w:numId w:val="10"/>
        </w:numPr>
        <w:spacing w:after="40" w:before="40"/>
      </w:pPr>
      <w:r>
        <w:rPr>
          <w:rFonts w:ascii="Arial" w:cs="Arial" w:eastAsia="Arial" w:hAnsi="Arial"/>
          <w:color w:val="333333"/>
          <w:sz w:val="20"/>
          <w:szCs w:val="20"/>
        </w:rPr>
        <w:t xml:space="preserve">vLLM CPU inference throughput at batch scale. CPU backend is functional but not optimized for throughput. If overnight batch processing of 5,000 leads exceeds acceptable wall-clock time (target: &lt; 4 hours for full pipeline), evaluate either upgrading to a higher core-count server, switching to quantized smaller models (Qwen 2.5 3B), or offloading overflow to OpenRouter free-tier models as a burst capacity layer.</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LeadForge PRD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8"/>
    <w:lvlOverride w:ilvl="0">
      <w:startOverride w:val="1"/>
    </w:lvlOverride>
  </w:num>
  <w:num w:numId="8">
    <w:abstractNumId w:val="10"/>
    <w:lvlOverride w:ilvl="0">
      <w:startOverride w:val="1"/>
    </w:lvlOverride>
  </w:num>
  <w:num w:numId="9">
    <w:abstractNumId w:val="12"/>
    <w:lvlOverride w:ilvl="0">
      <w:startOverride w:val="1"/>
    </w:lvlOverride>
  </w:num>
  <w:num w:numId="10">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D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2026-03-14T03:27:18.530Z</dcterms:created>
  <dcterms:modified xsi:type="dcterms:W3CDTF">2026-03-14T03:27:18.531Z</dcterms:modified>
</cp:coreProperties>
</file>

<file path=docProps/custom.xml><?xml version="1.0" encoding="utf-8"?>
<Properties xmlns="http://schemas.openxmlformats.org/officeDocument/2006/custom-properties" xmlns:vt="http://schemas.openxmlformats.org/officeDocument/2006/docPropsVTypes"/>
</file>