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619E2">
      <w:pPr>
        <w:spacing w:after="200"/>
      </w:pPr>
    </w:p>
    <w:p w14:paraId="486F5E7F">
      <w:pPr>
        <w:pStyle w:val="10"/>
      </w:pPr>
      <w:r>
        <w:t>ORB 交易战法</w:t>
      </w:r>
    </w:p>
    <w:p w14:paraId="1E395C98">
      <w:pPr>
        <w:pStyle w:val="10"/>
      </w:pPr>
      <w:r>
        <w:t>完整使用说明书</w:t>
      </w:r>
    </w:p>
    <w:p w14:paraId="7C42326E">
      <w:pPr>
        <w:pStyle w:val="8"/>
      </w:pPr>
      <w:r>
        <w:t>TranTradingLab ORB Pro System</w:t>
      </w:r>
    </w:p>
    <w:p w14:paraId="33A4D575">
      <w:pPr>
        <w:pStyle w:val="8"/>
      </w:pPr>
      <w:r>
        <w:t>Opening Range Breakout - Professional Trading Manual</w:t>
      </w:r>
    </w:p>
    <w:p w14:paraId="62CB8E13">
      <w:pPr>
        <w:spacing w:after="40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3120"/>
        <w:gridCol w:w="6240"/>
      </w:tblGrid>
      <w:tr w14:paraId="25B90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200" w:type="dxa"/>
            <w:bottom w:w="120" w:type="dxa"/>
            <w:right w:w="20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788"/>
          </w:tcPr>
          <w:p w14:paraId="435FB40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版本信息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788"/>
          </w:tcPr>
          <w:p w14:paraId="356A1F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Document Information</w:t>
            </w:r>
          </w:p>
        </w:tc>
      </w:tr>
      <w:tr w14:paraId="22AA0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200" w:type="dxa"/>
            <w:bottom w:w="120" w:type="dxa"/>
            <w:right w:w="20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</w:tcPr>
          <w:p w14:paraId="4F6EEAE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版本 Version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7CE11A">
            <w:r>
              <w:rPr>
                <w:b/>
                <w:bCs/>
                <w:sz w:val="22"/>
                <w:szCs w:val="22"/>
              </w:rPr>
              <w:t>v3.0 Professional Edition</w:t>
            </w:r>
          </w:p>
        </w:tc>
      </w:tr>
      <w:tr w14:paraId="0CA57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200" w:type="dxa"/>
            <w:bottom w:w="120" w:type="dxa"/>
            <w:right w:w="20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</w:tcPr>
          <w:p w14:paraId="0E5F7B5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更新日期 Date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18544D">
            <w:r>
              <w:rPr>
                <w:sz w:val="22"/>
                <w:szCs w:val="22"/>
              </w:rPr>
              <w:t>2025年1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2</w:t>
            </w:r>
            <w:r>
              <w:rPr>
                <w:sz w:val="22"/>
                <w:szCs w:val="22"/>
              </w:rPr>
              <w:t>月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日</w:t>
            </w:r>
          </w:p>
        </w:tc>
      </w:tr>
      <w:tr w14:paraId="4CDA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200" w:type="dxa"/>
            <w:bottom w:w="120" w:type="dxa"/>
            <w:right w:w="20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</w:tcPr>
          <w:p w14:paraId="03C977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适用范围 Markets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F0E40D">
            <w:r>
              <w:rPr>
                <w:sz w:val="22"/>
                <w:szCs w:val="22"/>
              </w:rPr>
              <w:t>股票 | 期货 | 外汇 | 加密货币</w:t>
            </w:r>
          </w:p>
        </w:tc>
      </w:tr>
      <w:tr w14:paraId="14A1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200" w:type="dxa"/>
            <w:bottom w:w="120" w:type="dxa"/>
            <w:right w:w="20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</w:tcPr>
          <w:p w14:paraId="5988A88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战法级别 Level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B1B659">
            <w:r>
              <w:rPr>
                <w:sz w:val="22"/>
                <w:szCs w:val="22"/>
              </w:rPr>
              <w:t>专业级日内/短线交易系统</w:t>
            </w:r>
          </w:p>
        </w:tc>
      </w:tr>
      <w:tr w14:paraId="29CE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200" w:type="dxa"/>
            <w:bottom w:w="120" w:type="dxa"/>
            <w:right w:w="20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</w:tcPr>
          <w:p w14:paraId="28A819F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难度 Difficulty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673921">
            <w:r>
              <w:rPr>
                <w:sz w:val="22"/>
                <w:szCs w:val="22"/>
              </w:rPr>
              <w:t>中级到高级 Intermediate to Advanced</w:t>
            </w:r>
          </w:p>
        </w:tc>
      </w:tr>
    </w:tbl>
    <w:p w14:paraId="54288A14">
      <w:pPr>
        <w:spacing w:after="400"/>
      </w:pPr>
    </w:p>
    <w:p w14:paraId="58A1214E">
      <w:pPr>
        <w:spacing w:before="200" w:after="160"/>
        <w:jc w:val="center"/>
      </w:pPr>
      <w:r>
        <w:rPr>
          <w:b/>
          <w:bCs/>
          <w:color w:val="D84315"/>
          <w:sz w:val="28"/>
          <w:szCs w:val="28"/>
        </w:rPr>
        <w:t>🎯 核心价值主张 Core Value Proposition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w14:paraId="3970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8E6C9"/>
          </w:tcPr>
          <w:p w14:paraId="68AB07AA"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>✓ 精准性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A481D1">
            <w:r>
              <w:rPr>
                <w:sz w:val="22"/>
                <w:szCs w:val="22"/>
              </w:rPr>
              <w:t>5/15/30/60分钟多周期验证,减少假突破</w:t>
            </w:r>
          </w:p>
        </w:tc>
      </w:tr>
      <w:tr w14:paraId="15DE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BDEFB"/>
          </w:tcPr>
          <w:p w14:paraId="68851AB6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>✓ 系统性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C77E67">
            <w:r>
              <w:rPr>
                <w:sz w:val="22"/>
                <w:szCs w:val="22"/>
              </w:rPr>
              <w:t>从信号识别到仓位管理全流程覆盖</w:t>
            </w:r>
          </w:p>
        </w:tc>
      </w:tr>
      <w:tr w14:paraId="1B8C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082"/>
          </w:tcPr>
          <w:p w14:paraId="7F9C0534">
            <w:pPr>
              <w:jc w:val="center"/>
            </w:pPr>
            <w:r>
              <w:rPr>
                <w:b/>
                <w:bCs/>
                <w:color w:val="F57C00"/>
                <w:sz w:val="24"/>
                <w:szCs w:val="24"/>
              </w:rPr>
              <w:t>✓ 适应性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761278">
            <w:r>
              <w:rPr>
                <w:sz w:val="22"/>
                <w:szCs w:val="22"/>
              </w:rPr>
              <w:t>自动识别市场类型,动态调整参数</w:t>
            </w:r>
          </w:p>
        </w:tc>
      </w:tr>
      <w:tr w14:paraId="47DA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BEE7"/>
          </w:tcPr>
          <w:p w14:paraId="684556EB">
            <w:pPr>
              <w:jc w:val="center"/>
            </w:pPr>
            <w:r>
              <w:rPr>
                <w:b/>
                <w:bCs/>
                <w:color w:val="7B1FA2"/>
                <w:sz w:val="24"/>
                <w:szCs w:val="24"/>
              </w:rPr>
              <w:t>✓ 可复制性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8CBECB">
            <w:r>
              <w:rPr>
                <w:sz w:val="22"/>
                <w:szCs w:val="22"/>
              </w:rPr>
              <w:t>规则明确,可完全量化回测</w:t>
            </w:r>
          </w:p>
        </w:tc>
      </w:tr>
    </w:tbl>
    <w:p w14:paraId="4FADE7B9">
      <w:r>
        <w:br w:type="page"/>
      </w:r>
    </w:p>
    <w:sdt>
      <w:sdtPr>
        <w:alias w:val="目录"/>
        <w:id w:val="147481575"/>
      </w:sdtPr>
      <w:sdtContent>
        <w:p w14:paraId="7631ECFB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2671B33F">
          <w:r>
            <w:fldChar w:fldCharType="end"/>
          </w:r>
        </w:p>
      </w:sdtContent>
    </w:sdt>
    <w:p w14:paraId="512E752F">
      <w:bookmarkStart w:id="0" w:name="_GoBack"/>
      <w:bookmarkEnd w:id="0"/>
    </w:p>
    <w:p w14:paraId="66EE5C62">
      <w:pPr>
        <w:spacing w:before="200" w:after="240"/>
        <w:jc w:val="center"/>
      </w:pPr>
      <w:r>
        <w:rPr>
          <w:b/>
          <w:bCs/>
          <w:color w:val="1F4788"/>
          <w:sz w:val="32"/>
          <w:szCs w:val="32"/>
        </w:rPr>
        <w:t>战法架构全景图</w:t>
      </w:r>
    </w:p>
    <w:p w14:paraId="41E885A6">
      <w:pPr>
        <w:spacing w:before="120" w:after="240"/>
        <w:jc w:val="center"/>
      </w:pPr>
      <w:r>
        <w:drawing>
          <wp:inline distT="0" distB="0" distL="0" distR="0">
            <wp:extent cx="5238750" cy="3810000"/>
            <wp:effectExtent l="0" t="0" r="0" b="0"/>
            <wp:docPr id="1" name="架构图" descr="ORB战法整体架构图" title="ORB战法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架构图" descr="ORB战法整体架构图" title="ORB战法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ACED">
      <w:pPr>
        <w:pStyle w:val="18"/>
      </w:pPr>
      <w:r>
        <w:t>图示说明: ORB战法由四大核心模块组成 - 理论基础、执行系统、技术指标和风险管理。每个模块相互关联,形成完整的交易体系。</w:t>
      </w:r>
    </w:p>
    <w:p w14:paraId="566A7654">
      <w:r>
        <w:br w:type="page"/>
      </w:r>
    </w:p>
    <w:p w14:paraId="3810E99B">
      <w:pPr>
        <w:pStyle w:val="2"/>
      </w:pPr>
      <w:r>
        <w:t>第一部分: 战法名称与品牌定位</w:t>
      </w:r>
    </w:p>
    <w:p w14:paraId="2EC5A3D6">
      <w:pPr>
        <w:pStyle w:val="3"/>
      </w:pPr>
      <w:r>
        <w:t>1.1 战法品牌化命名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6240"/>
      </w:tblGrid>
      <w:tr w14:paraId="286D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788"/>
          </w:tcPr>
          <w:p w14:paraId="50D1289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788"/>
          </w:tcPr>
          <w:p w14:paraId="2338FDC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内容</w:t>
            </w:r>
          </w:p>
        </w:tc>
      </w:tr>
      <w:tr w14:paraId="7FE4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0D5440">
            <w:r>
              <w:rPr>
                <w:sz w:val="22"/>
                <w:szCs w:val="22"/>
              </w:rPr>
              <w:t>中文名称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960DDD">
            <w:r>
              <w:rPr>
                <w:b/>
                <w:bCs/>
                <w:color w:val="1F4788"/>
                <w:sz w:val="24"/>
                <w:szCs w:val="24"/>
              </w:rPr>
              <w:t>范围突破精控战法</w:t>
            </w:r>
          </w:p>
        </w:tc>
      </w:tr>
      <w:tr w14:paraId="4C48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329F76">
            <w:r>
              <w:rPr>
                <w:sz w:val="22"/>
                <w:szCs w:val="22"/>
              </w:rPr>
              <w:t>英文名称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066ABB">
            <w:r>
              <w:rPr>
                <w:b/>
                <w:bCs/>
                <w:color w:val="1F4788"/>
                <w:sz w:val="22"/>
                <w:szCs w:val="22"/>
              </w:rPr>
              <w:t>TranTradingLab ORB Pro System</w:t>
            </w:r>
          </w:p>
        </w:tc>
      </w:tr>
      <w:tr w14:paraId="381D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017815">
            <w:r>
              <w:rPr>
                <w:sz w:val="22"/>
                <w:szCs w:val="22"/>
              </w:rPr>
              <w:t>战法简称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893567">
            <w:r>
              <w:rPr>
                <w:b/>
                <w:bCs/>
                <w:sz w:val="22"/>
                <w:szCs w:val="22"/>
              </w:rPr>
              <w:t>ORB精控系统</w:t>
            </w:r>
          </w:p>
        </w:tc>
      </w:tr>
      <w:tr w14:paraId="168A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60289A">
            <w:r>
              <w:rPr>
                <w:sz w:val="22"/>
                <w:szCs w:val="22"/>
              </w:rPr>
              <w:t>核心理念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8FD80A">
            <w:r>
              <w:rPr>
                <w:sz w:val="22"/>
                <w:szCs w:val="22"/>
              </w:rPr>
              <w:t>Opening Range Breakout - 开盘区间突破</w:t>
            </w:r>
          </w:p>
        </w:tc>
      </w:tr>
    </w:tbl>
    <w:p w14:paraId="26BA61F2">
      <w:pPr>
        <w:spacing w:after="200"/>
      </w:pPr>
    </w:p>
    <w:p w14:paraId="70C97E45">
      <w:pPr>
        <w:pStyle w:val="3"/>
      </w:pPr>
      <w:r>
        <w:t>1.2 品牌定位</w:t>
      </w:r>
    </w:p>
    <w:p w14:paraId="5A22697D">
      <w:pPr>
        <w:spacing w:before="120" w:after="200"/>
      </w:pPr>
      <w:r>
        <w:rPr>
          <w:sz w:val="22"/>
          <w:szCs w:val="22"/>
        </w:rPr>
        <w:t>这是一套基于开盘区间突破理论、结合多时间周期共振、公允价值缺口(FVG)过滤和智能风控系统的完整交易体系。本战法由TranTradingLab团队经过多年实战验证和优化,专为追求稳定盈利的专业交易者设计。</w:t>
      </w:r>
    </w:p>
    <w:p w14:paraId="5BEFB388">
      <w:pPr>
        <w:pStyle w:val="17"/>
      </w:pPr>
      <w:r>
        <w:t>适用交易者画像: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680"/>
        <w:gridCol w:w="4680"/>
      </w:tblGrid>
      <w:tr w14:paraId="464A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8E6C9"/>
          </w:tcPr>
          <w:p w14:paraId="1C411254">
            <w:pPr>
              <w:spacing w:after="100"/>
            </w:pPr>
            <w:r>
              <w:rPr>
                <w:b/>
                <w:bCs/>
                <w:color w:val="2E7D32"/>
                <w:sz w:val="22"/>
                <w:szCs w:val="22"/>
              </w:rPr>
              <w:t>✓ 适合的交易者</w:t>
            </w:r>
          </w:p>
          <w:p w14:paraId="439AF31D">
            <w:pPr>
              <w:pStyle w:val="15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具备一定技术分析基础</w:t>
            </w:r>
          </w:p>
          <w:p w14:paraId="0E1A1D47">
            <w:pPr>
              <w:pStyle w:val="15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能够严格执行纪律</w:t>
            </w:r>
          </w:p>
          <w:p w14:paraId="3E51ABF6">
            <w:pPr>
              <w:pStyle w:val="15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日内/短线交易风格</w:t>
            </w:r>
          </w:p>
          <w:p w14:paraId="0EF3AC35">
            <w:pPr>
              <w:pStyle w:val="15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追求稳定收益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CDD2"/>
          </w:tcPr>
          <w:p w14:paraId="77348174">
            <w:pPr>
              <w:spacing w:after="100"/>
            </w:pPr>
            <w:r>
              <w:rPr>
                <w:b/>
                <w:bCs/>
                <w:color w:val="C62828"/>
                <w:sz w:val="22"/>
                <w:szCs w:val="22"/>
              </w:rPr>
              <w:t>✗ 不适合的交易者</w:t>
            </w:r>
          </w:p>
          <w:p w14:paraId="06CA9C6A">
            <w:pPr>
              <w:pStyle w:val="15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完全零基础的初学者</w:t>
            </w:r>
          </w:p>
          <w:p w14:paraId="73BA140B">
            <w:pPr>
              <w:pStyle w:val="15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情绪化交易者</w:t>
            </w:r>
          </w:p>
          <w:p w14:paraId="39B58BCE">
            <w:pPr>
              <w:pStyle w:val="15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长期持有投资者</w:t>
            </w:r>
          </w:p>
          <w:p w14:paraId="15F562BD">
            <w:pPr>
              <w:pStyle w:val="15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追求一夜暴富</w:t>
            </w:r>
          </w:p>
        </w:tc>
      </w:tr>
    </w:tbl>
    <w:p w14:paraId="65F533FA">
      <w:r>
        <w:br w:type="page"/>
      </w:r>
    </w:p>
    <w:p w14:paraId="717D08D1">
      <w:pPr>
        <w:pStyle w:val="2"/>
      </w:pPr>
      <w:r>
        <w:t>第二部分: 底层逻辑体系</w:t>
      </w:r>
    </w:p>
    <w:p w14:paraId="3935DC39">
      <w:pPr>
        <w:pStyle w:val="3"/>
      </w:pPr>
      <w:r>
        <w:t>2.1 核心交易理念</w:t>
      </w:r>
    </w:p>
    <w:p w14:paraId="5E9C5B9C">
      <w:pPr>
        <w:pStyle w:val="17"/>
      </w:pPr>
      <w:r>
        <w:t>基础假设:</w:t>
      </w:r>
    </w:p>
    <w:p w14:paraId="24EEBBB5">
      <w:pPr>
        <w:shd w:val="clear" w:fill="E3F2FD"/>
        <w:spacing w:before="120" w:after="200"/>
        <w:ind w:left="720" w:right="720"/>
      </w:pPr>
      <w:r>
        <w:rPr>
          <w:i/>
          <w:iCs/>
          <w:color w:val="4A7BA7"/>
          <w:sz w:val="24"/>
          <w:szCs w:val="24"/>
        </w:rPr>
        <w:t>市场开盘后的一段时间(5-60分钟)形成的价格区间,代表了当日交易者的初始共识。突破这个区间往往标志着新的动能方向,是趋势启动的信号。</w:t>
      </w:r>
    </w:p>
    <w:p w14:paraId="1AD95C89">
      <w:pPr>
        <w:pStyle w:val="17"/>
      </w:pPr>
      <w:r>
        <w:t>理论支撑:</w:t>
      </w:r>
    </w:p>
    <w:p w14:paraId="4BCEF0FC">
      <w:pPr>
        <w:pStyle w:val="15"/>
        <w:numPr>
          <w:ilvl w:val="0"/>
          <w:numId w:val="2"/>
        </w:numPr>
      </w:pPr>
      <w:r>
        <w:rPr>
          <w:sz w:val="22"/>
          <w:szCs w:val="22"/>
        </w:rPr>
        <w:t>市场心理学: 开盘区间代表早盘参与者的价格发现过程</w:t>
      </w:r>
    </w:p>
    <w:p w14:paraId="191A5A3E">
      <w:pPr>
        <w:pStyle w:val="15"/>
        <w:numPr>
          <w:ilvl w:val="0"/>
          <w:numId w:val="2"/>
        </w:numPr>
      </w:pPr>
      <w:r>
        <w:rPr>
          <w:sz w:val="22"/>
          <w:szCs w:val="22"/>
        </w:rPr>
        <w:t>供需理论: 突破意味着供需关系发生重大变化</w:t>
      </w:r>
    </w:p>
    <w:p w14:paraId="491F3D90">
      <w:pPr>
        <w:pStyle w:val="15"/>
        <w:numPr>
          <w:ilvl w:val="0"/>
          <w:numId w:val="2"/>
        </w:numPr>
      </w:pPr>
      <w:r>
        <w:rPr>
          <w:sz w:val="22"/>
          <w:szCs w:val="22"/>
        </w:rPr>
        <w:t>动量效应: 突破后常伴随持续的趋势性运动</w:t>
      </w:r>
    </w:p>
    <w:p w14:paraId="3EBD6E45">
      <w:pPr>
        <w:pStyle w:val="15"/>
        <w:numPr>
          <w:ilvl w:val="0"/>
          <w:numId w:val="2"/>
        </w:numPr>
      </w:pPr>
      <w:r>
        <w:rPr>
          <w:sz w:val="22"/>
          <w:szCs w:val="22"/>
        </w:rPr>
        <w:t>机构行为: 大资金通常在突破后才大规模入场</w:t>
      </w:r>
    </w:p>
    <w:p w14:paraId="6A848B23">
      <w:pPr>
        <w:spacing w:after="300"/>
      </w:pPr>
    </w:p>
    <w:p w14:paraId="772DBE51">
      <w:pPr>
        <w:pStyle w:val="3"/>
      </w:pPr>
      <w:r>
        <w:t>2.2 理论基础</w:t>
      </w:r>
    </w:p>
    <w:p w14:paraId="5349C1E7">
      <w:pPr>
        <w:pStyle w:val="4"/>
      </w:pPr>
      <w:r>
        <w:t>2.2.1 开盘区间理论 (Opening Range Theory)</w:t>
      </w:r>
    </w:p>
    <w:p w14:paraId="15D9B5D6">
      <w:pPr>
        <w:spacing w:before="120" w:after="120"/>
      </w:pPr>
      <w:r>
        <w:rPr>
          <w:b/>
          <w:bCs/>
          <w:sz w:val="24"/>
          <w:szCs w:val="24"/>
        </w:rPr>
        <w:t>定义与组成部分: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3510"/>
        <w:gridCol w:w="3510"/>
      </w:tblGrid>
      <w:tr w14:paraId="6C37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6BC0"/>
          </w:tcPr>
          <w:p w14:paraId="09AFF53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元素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6BC0"/>
          </w:tcPr>
          <w:p w14:paraId="017CCF7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定义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6BC0"/>
          </w:tcPr>
          <w:p w14:paraId="701463F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交易意义</w:t>
            </w:r>
          </w:p>
        </w:tc>
      </w:tr>
      <w:tr w14:paraId="4284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D5941E">
            <w:r>
              <w:rPr>
                <w:b/>
                <w:bCs/>
                <w:sz w:val="20"/>
                <w:szCs w:val="20"/>
              </w:rPr>
              <w:t>ORB High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30CA3C">
            <w:r>
              <w:rPr>
                <w:sz w:val="20"/>
                <w:szCs w:val="20"/>
              </w:rPr>
              <w:t>开盘区间内的最高价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FC78AB">
            <w:r>
              <w:rPr>
                <w:color w:val="2E7D32"/>
                <w:sz w:val="20"/>
                <w:szCs w:val="20"/>
              </w:rPr>
              <w:t>突破后成为支撑</w:t>
            </w:r>
          </w:p>
        </w:tc>
      </w:tr>
      <w:tr w14:paraId="3659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B4B4B8">
            <w:r>
              <w:rPr>
                <w:b/>
                <w:bCs/>
                <w:sz w:val="20"/>
                <w:szCs w:val="20"/>
              </w:rPr>
              <w:t>ORB Low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E93179">
            <w:r>
              <w:rPr>
                <w:sz w:val="20"/>
                <w:szCs w:val="20"/>
              </w:rPr>
              <w:t>开盘区间内的最低价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3946D0">
            <w:r>
              <w:rPr>
                <w:color w:val="C62828"/>
                <w:sz w:val="20"/>
                <w:szCs w:val="20"/>
              </w:rPr>
              <w:t>跌破后成为阻力</w:t>
            </w:r>
          </w:p>
        </w:tc>
      </w:tr>
      <w:tr w14:paraId="16E9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60E538">
            <w:r>
              <w:rPr>
                <w:b/>
                <w:bCs/>
                <w:sz w:val="20"/>
                <w:szCs w:val="20"/>
              </w:rPr>
              <w:t>ORB Range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82CF0E">
            <w:r>
              <w:rPr>
                <w:sz w:val="20"/>
                <w:szCs w:val="20"/>
              </w:rPr>
              <w:t>High - Low (区间宽度)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E30C74">
            <w:r>
              <w:rPr>
                <w:color w:val="1565C0"/>
                <w:sz w:val="20"/>
                <w:szCs w:val="20"/>
              </w:rPr>
              <w:t>衡量波动性和TP距离</w:t>
            </w:r>
          </w:p>
        </w:tc>
      </w:tr>
    </w:tbl>
    <w:p w14:paraId="05603CC4">
      <w:pPr>
        <w:spacing w:after="300"/>
      </w:pPr>
    </w:p>
    <w:p w14:paraId="46626FD1">
      <w:pPr>
        <w:spacing w:before="200" w:after="120"/>
      </w:pPr>
      <w:r>
        <w:rPr>
          <w:b/>
          <w:bCs/>
          <w:color w:val="D84315"/>
          <w:sz w:val="26"/>
          <w:szCs w:val="26"/>
        </w:rPr>
        <w:t>四大时间周期详解: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872"/>
        <w:gridCol w:w="2340"/>
        <w:gridCol w:w="2340"/>
        <w:gridCol w:w="2808"/>
      </w:tblGrid>
      <w:tr w14:paraId="4DCA6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474F"/>
          </w:tcPr>
          <w:p w14:paraId="26404E0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周期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474F"/>
          </w:tcPr>
          <w:p w14:paraId="423737A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交易风格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474F"/>
          </w:tcPr>
          <w:p w14:paraId="1C8780E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优势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474F"/>
          </w:tcPr>
          <w:p w14:paraId="5476EE1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劣势</w:t>
            </w:r>
          </w:p>
        </w:tc>
      </w:tr>
      <w:tr w14:paraId="36A6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0B2"/>
          </w:tcPr>
          <w:p w14:paraId="55E277D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ORB5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0089D2">
            <w:r>
              <w:rPr>
                <w:sz w:val="20"/>
                <w:szCs w:val="20"/>
              </w:rPr>
              <w:t>超短线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CBF44A">
            <w:r>
              <w:rPr>
                <w:sz w:val="18"/>
                <w:szCs w:val="18"/>
              </w:rPr>
              <w:t>信号频繁</w:t>
            </w:r>
          </w:p>
          <w:p w14:paraId="443DD6DA">
            <w:r>
              <w:rPr>
                <w:sz w:val="18"/>
                <w:szCs w:val="18"/>
              </w:rPr>
              <w:t>快速获利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E44DC4">
            <w:r>
              <w:rPr>
                <w:sz w:val="18"/>
                <w:szCs w:val="18"/>
              </w:rPr>
              <w:t>假突破多</w:t>
            </w:r>
          </w:p>
          <w:p w14:paraId="04C113C3">
            <w:r>
              <w:rPr>
                <w:sz w:val="18"/>
                <w:szCs w:val="18"/>
              </w:rPr>
              <w:t>需要盯盘</w:t>
            </w:r>
          </w:p>
        </w:tc>
      </w:tr>
      <w:tr w14:paraId="0887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E1A5"/>
          </w:tcPr>
          <w:p w14:paraId="3481085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ORB15 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B2E215">
            <w:r>
              <w:rPr>
                <w:b/>
                <w:bCs/>
                <w:sz w:val="20"/>
                <w:szCs w:val="20"/>
              </w:rPr>
              <w:t>日内交易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745650">
            <w:r>
              <w:rPr>
                <w:b/>
                <w:bCs/>
                <w:sz w:val="18"/>
                <w:szCs w:val="18"/>
              </w:rPr>
              <w:t>最常用</w:t>
            </w:r>
          </w:p>
          <w:p w14:paraId="17A069D3">
            <w:r>
              <w:rPr>
                <w:sz w:val="18"/>
                <w:szCs w:val="18"/>
              </w:rPr>
              <w:t>平衡性好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40446D">
            <w:r>
              <w:rPr>
                <w:sz w:val="18"/>
                <w:szCs w:val="18"/>
              </w:rPr>
              <w:t>需要验证</w:t>
            </w:r>
          </w:p>
          <w:p w14:paraId="0F21EF51">
            <w:r>
              <w:rPr>
                <w:sz w:val="18"/>
                <w:szCs w:val="18"/>
              </w:rPr>
              <w:t>中等频率</w:t>
            </w:r>
          </w:p>
        </w:tc>
      </w:tr>
      <w:tr w14:paraId="4BFF1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0CAF9"/>
          </w:tcPr>
          <w:p w14:paraId="00025F8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ORB30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EBBB8F">
            <w:r>
              <w:rPr>
                <w:sz w:val="20"/>
                <w:szCs w:val="20"/>
              </w:rPr>
              <w:t>短线波段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874E70">
            <w:r>
              <w:rPr>
                <w:sz w:val="18"/>
                <w:szCs w:val="18"/>
              </w:rPr>
              <w:t>准确性高</w:t>
            </w:r>
          </w:p>
          <w:p w14:paraId="152D7668">
            <w:r>
              <w:rPr>
                <w:sz w:val="18"/>
                <w:szCs w:val="18"/>
              </w:rPr>
              <w:t>趋势明显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103C75">
            <w:r>
              <w:rPr>
                <w:sz w:val="18"/>
                <w:szCs w:val="18"/>
              </w:rPr>
              <w:t>信号较少</w:t>
            </w:r>
          </w:p>
          <w:p w14:paraId="5433A5EE">
            <w:r>
              <w:rPr>
                <w:sz w:val="18"/>
                <w:szCs w:val="18"/>
              </w:rPr>
              <w:t>等待时间长</w:t>
            </w:r>
          </w:p>
        </w:tc>
      </w:tr>
      <w:tr w14:paraId="2BBBF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E93D8"/>
          </w:tcPr>
          <w:p w14:paraId="037B619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ORB60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3CFF7F">
            <w:r>
              <w:rPr>
                <w:sz w:val="20"/>
                <w:szCs w:val="20"/>
              </w:rPr>
              <w:t>中线趋势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999EC3">
            <w:r>
              <w:rPr>
                <w:sz w:val="18"/>
                <w:szCs w:val="18"/>
              </w:rPr>
              <w:t>高胜率</w:t>
            </w:r>
          </w:p>
          <w:p w14:paraId="655D8336">
            <w:r>
              <w:rPr>
                <w:sz w:val="18"/>
                <w:szCs w:val="18"/>
              </w:rPr>
              <w:t>适合新手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9B07BD">
            <w:r>
              <w:rPr>
                <w:sz w:val="18"/>
                <w:szCs w:val="18"/>
              </w:rPr>
              <w:t>信号稀少</w:t>
            </w:r>
          </w:p>
          <w:p w14:paraId="0106733F">
            <w:r>
              <w:rPr>
                <w:sz w:val="18"/>
                <w:szCs w:val="18"/>
              </w:rPr>
              <w:t>需要耐心</w:t>
            </w:r>
          </w:p>
        </w:tc>
      </w:tr>
    </w:tbl>
    <w:p w14:paraId="4069C35C">
      <w:pPr>
        <w:spacing w:after="200"/>
      </w:pPr>
    </w:p>
    <w:p w14:paraId="735EFD5C">
      <w:pPr>
        <w:pStyle w:val="18"/>
      </w:pPr>
      <w:r>
        <w:t>💡 推荐策略: 多数交易者从ORB15开始,逐渐尝试ORB30。进阶后可以使用多周期共振 (ORB15+ORB30同时突破) 提高胜率。</w:t>
      </w:r>
    </w:p>
    <w:p w14:paraId="125AC9A9">
      <w:r>
        <w:br w:type="page"/>
      </w:r>
    </w:p>
    <w:p w14:paraId="4C2C5B92">
      <w:pPr>
        <w:pStyle w:val="4"/>
      </w:pPr>
      <w:r>
        <w:t>2.2.2 趋势识别逻辑</w:t>
      </w:r>
    </w:p>
    <w:p w14:paraId="1E5F2C31">
      <w:pPr>
        <w:spacing w:before="120" w:after="120"/>
      </w:pPr>
      <w:r>
        <w:rPr>
          <w:b/>
          <w:bCs/>
          <w:sz w:val="24"/>
          <w:szCs w:val="24"/>
        </w:rPr>
        <w:t>多重趋势确认机制:</w:t>
      </w:r>
    </w:p>
    <w:p w14:paraId="3825BA67">
      <w:pPr>
        <w:spacing w:after="100"/>
      </w:pPr>
      <w:r>
        <w:rPr>
          <w:b/>
          <w:bCs/>
          <w:sz w:val="22"/>
          <w:szCs w:val="22"/>
        </w:rPr>
        <w:t>1. 短期趋势 (Chart Timeframe - 图表时间框架):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3510"/>
        <w:gridCol w:w="3510"/>
      </w:tblGrid>
      <w:tr w14:paraId="5384A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2A5F5"/>
          </w:tcPr>
          <w:p w14:paraId="08905CC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2A5F5"/>
          </w:tcPr>
          <w:p w14:paraId="7CDC55A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作用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2A5F5"/>
          </w:tcPr>
          <w:p w14:paraId="7469A5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判断标准</w:t>
            </w:r>
          </w:p>
        </w:tc>
      </w:tr>
      <w:tr w14:paraId="62E8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41FCD4">
            <w:r>
              <w:rPr>
                <w:b/>
                <w:bCs/>
                <w:sz w:val="20"/>
                <w:szCs w:val="20"/>
              </w:rPr>
              <w:t>VWAP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B11998">
            <w:r>
              <w:rPr>
                <w:sz w:val="18"/>
                <w:szCs w:val="18"/>
              </w:rPr>
              <w:t>成交量加权平均价</w:t>
            </w:r>
          </w:p>
          <w:p w14:paraId="446D72B8">
            <w:r>
              <w:rPr>
                <w:sz w:val="18"/>
                <w:szCs w:val="18"/>
              </w:rPr>
              <w:t>主力成本参考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0C5FE0">
            <w:r>
              <w:rPr>
                <w:color w:val="2E7D32"/>
                <w:sz w:val="18"/>
                <w:szCs w:val="18"/>
              </w:rPr>
              <w:t>多头: 价格 &gt; VWAP</w:t>
            </w:r>
          </w:p>
          <w:p w14:paraId="6BCF1FB9">
            <w:r>
              <w:rPr>
                <w:color w:val="C62828"/>
                <w:sz w:val="18"/>
                <w:szCs w:val="18"/>
              </w:rPr>
              <w:t>空头: 价格 &lt; VWAP</w:t>
            </w:r>
          </w:p>
        </w:tc>
      </w:tr>
      <w:tr w14:paraId="5B54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A32425">
            <w:r>
              <w:rPr>
                <w:b/>
                <w:bCs/>
                <w:sz w:val="20"/>
                <w:szCs w:val="20"/>
              </w:rPr>
              <w:t>EMA12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A27A06">
            <w:r>
              <w:rPr>
                <w:sz w:val="18"/>
                <w:szCs w:val="18"/>
              </w:rPr>
              <w:t>快速均线</w:t>
            </w:r>
          </w:p>
          <w:p w14:paraId="30FD9468">
            <w:r>
              <w:rPr>
                <w:sz w:val="18"/>
                <w:szCs w:val="18"/>
              </w:rPr>
              <w:t>短期趋势方向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F12777">
            <w:r>
              <w:rPr>
                <w:sz w:val="18"/>
                <w:szCs w:val="18"/>
              </w:rPr>
              <w:t>价格与EMA12的相对位置</w:t>
            </w:r>
          </w:p>
        </w:tc>
      </w:tr>
      <w:tr w14:paraId="3FE8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829B61">
            <w:r>
              <w:rPr>
                <w:b/>
                <w:bCs/>
                <w:sz w:val="20"/>
                <w:szCs w:val="20"/>
              </w:rPr>
              <w:t>EMA50/200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FA33DA">
            <w:r>
              <w:rPr>
                <w:sz w:val="18"/>
                <w:szCs w:val="18"/>
              </w:rPr>
              <w:t>中长期均线</w:t>
            </w:r>
          </w:p>
          <w:p w14:paraId="3BB719C2">
            <w:r>
              <w:rPr>
                <w:sz w:val="18"/>
                <w:szCs w:val="18"/>
              </w:rPr>
              <w:t>主趋势方向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4F8176">
            <w:r>
              <w:rPr>
                <w:sz w:val="18"/>
                <w:szCs w:val="18"/>
              </w:rPr>
              <w:t>EMA排列顺序</w:t>
            </w:r>
          </w:p>
          <w:p w14:paraId="6F8D35E9">
            <w:r>
              <w:rPr>
                <w:sz w:val="18"/>
                <w:szCs w:val="18"/>
              </w:rPr>
              <w:t>金叉/死叉信号</w:t>
            </w:r>
          </w:p>
        </w:tc>
      </w:tr>
      <w:tr w14:paraId="11584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897D02">
            <w:r>
              <w:rPr>
                <w:b/>
                <w:bCs/>
                <w:sz w:val="20"/>
                <w:szCs w:val="20"/>
              </w:rPr>
              <w:t>SuperTrend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25C661">
            <w:r>
              <w:rPr>
                <w:sz w:val="18"/>
                <w:szCs w:val="18"/>
              </w:rPr>
              <w:t>ATR动态趋势线</w:t>
            </w:r>
          </w:p>
          <w:p w14:paraId="01DDBB46">
            <w:r>
              <w:rPr>
                <w:sz w:val="18"/>
                <w:szCs w:val="18"/>
              </w:rPr>
              <w:t>自适应波动性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D7C6CB">
            <w:r>
              <w:rPr>
                <w:color w:val="2E7D32"/>
                <w:sz w:val="18"/>
                <w:szCs w:val="18"/>
              </w:rPr>
              <w:t>绿色=多头</w:t>
            </w:r>
          </w:p>
          <w:p w14:paraId="05A6BA2B">
            <w:r>
              <w:rPr>
                <w:color w:val="C62828"/>
                <w:sz w:val="18"/>
                <w:szCs w:val="18"/>
              </w:rPr>
              <w:t>红色=空头</w:t>
            </w:r>
          </w:p>
        </w:tc>
      </w:tr>
    </w:tbl>
    <w:p w14:paraId="360D67B7">
      <w:pPr>
        <w:spacing w:after="300"/>
      </w:pPr>
    </w:p>
    <w:p w14:paraId="37B4B4C2">
      <w:pPr>
        <w:spacing w:after="100"/>
      </w:pPr>
      <w:r>
        <w:rPr>
          <w:b/>
          <w:bCs/>
          <w:sz w:val="22"/>
          <w:szCs w:val="22"/>
        </w:rPr>
        <w:t>2. 中期趋势 (HTF - Higher Timeframe - 高时间框架):</w:t>
      </w:r>
    </w:p>
    <w:p w14:paraId="1E125391">
      <w:pPr>
        <w:pStyle w:val="15"/>
        <w:numPr>
          <w:ilvl w:val="0"/>
          <w:numId w:val="1"/>
        </w:numPr>
      </w:pPr>
      <w:r>
        <w:rPr>
          <w:sz w:val="22"/>
          <w:szCs w:val="22"/>
        </w:rPr>
        <w:t>日线/4H级别趋势方向</w:t>
      </w:r>
    </w:p>
    <w:p w14:paraId="786D0909">
      <w:pPr>
        <w:pStyle w:val="15"/>
        <w:numPr>
          <w:ilvl w:val="0"/>
          <w:numId w:val="1"/>
        </w:numPr>
      </w:pPr>
      <w:r>
        <w:rPr>
          <w:sz w:val="22"/>
          <w:szCs w:val="22"/>
        </w:rPr>
        <w:t>价格与HTF均线相对位置</w:t>
      </w:r>
    </w:p>
    <w:p w14:paraId="7D42D170">
      <w:pPr>
        <w:pStyle w:val="15"/>
        <w:numPr>
          <w:ilvl w:val="0"/>
          <w:numId w:val="1"/>
        </w:numPr>
      </w:pPr>
      <w:r>
        <w:rPr>
          <w:sz w:val="22"/>
          <w:szCs w:val="22"/>
        </w:rPr>
        <w:t>趋势强度百分比测量 (例如:价格距离EMA50的百分比)</w:t>
      </w:r>
    </w:p>
    <w:p w14:paraId="5B0F3AED">
      <w:pPr>
        <w:spacing w:after="200"/>
      </w:pPr>
    </w:p>
    <w:p w14:paraId="1224F7EB">
      <w:pPr>
        <w:pStyle w:val="17"/>
      </w:pPr>
      <w:r>
        <w:t>完整趋势判断公式: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680"/>
        <w:gridCol w:w="4680"/>
      </w:tblGrid>
      <w:tr w14:paraId="692F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4F4C695C">
            <w:pPr>
              <w:spacing w:after="100"/>
            </w:pPr>
            <w:r>
              <w:rPr>
                <w:b/>
                <w:bCs/>
                <w:color w:val="2E7D32"/>
                <w:sz w:val="24"/>
                <w:szCs w:val="24"/>
              </w:rPr>
              <w:t>看涨趋势判断:</w:t>
            </w:r>
          </w:p>
          <w:p w14:paraId="0DB30992">
            <w:pPr>
              <w:spacing w:after="60"/>
            </w:pPr>
            <w:r>
              <w:rPr>
                <w:sz w:val="20"/>
                <w:szCs w:val="20"/>
              </w:rPr>
              <w:t>价格 &gt; VWAP</w:t>
            </w:r>
          </w:p>
          <w:p w14:paraId="58E9C84C">
            <w:pPr>
              <w:spacing w:after="60"/>
            </w:pPr>
            <w:r>
              <w:rPr>
                <w:sz w:val="20"/>
                <w:szCs w:val="20"/>
              </w:rPr>
              <w:t>价格 &gt; EMA12 &gt; EMA50</w:t>
            </w:r>
          </w:p>
          <w:p w14:paraId="7A529FC8">
            <w:pPr>
              <w:spacing w:after="60"/>
            </w:pPr>
            <w:r>
              <w:rPr>
                <w:sz w:val="20"/>
                <w:szCs w:val="20"/>
              </w:rPr>
              <w:t>HTF日线多头排列</w:t>
            </w:r>
          </w:p>
          <w:p w14:paraId="1C119FAE">
            <w:r>
              <w:rPr>
                <w:sz w:val="20"/>
                <w:szCs w:val="20"/>
              </w:rPr>
              <w:t>SuperTrend显示绿色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66184BB9">
            <w:pPr>
              <w:spacing w:after="100"/>
            </w:pPr>
            <w:r>
              <w:rPr>
                <w:b/>
                <w:bCs/>
                <w:color w:val="C62828"/>
                <w:sz w:val="24"/>
                <w:szCs w:val="24"/>
              </w:rPr>
              <w:t>看跌趋势判断:</w:t>
            </w:r>
          </w:p>
          <w:p w14:paraId="3681D789">
            <w:pPr>
              <w:spacing w:after="60"/>
            </w:pPr>
            <w:r>
              <w:rPr>
                <w:sz w:val="20"/>
                <w:szCs w:val="20"/>
              </w:rPr>
              <w:t>价格 &lt; VWAP</w:t>
            </w:r>
          </w:p>
          <w:p w14:paraId="413281E7">
            <w:pPr>
              <w:spacing w:after="60"/>
            </w:pPr>
            <w:r>
              <w:rPr>
                <w:sz w:val="20"/>
                <w:szCs w:val="20"/>
              </w:rPr>
              <w:t>价格 &lt; EMA12 &lt; EMA50</w:t>
            </w:r>
          </w:p>
          <w:p w14:paraId="4D88FBFA">
            <w:pPr>
              <w:spacing w:after="60"/>
            </w:pPr>
            <w:r>
              <w:rPr>
                <w:sz w:val="20"/>
                <w:szCs w:val="20"/>
              </w:rPr>
              <w:t>HTF日线空头排列</w:t>
            </w:r>
          </w:p>
          <w:p w14:paraId="732D5CD2">
            <w:r>
              <w:rPr>
                <w:sz w:val="20"/>
                <w:szCs w:val="20"/>
              </w:rPr>
              <w:t>SuperTrend显示红色</w:t>
            </w:r>
          </w:p>
        </w:tc>
      </w:tr>
    </w:tbl>
    <w:p w14:paraId="21D16577">
      <w:r>
        <w:br w:type="page"/>
      </w:r>
    </w:p>
    <w:p w14:paraId="77430D56">
      <w:pPr>
        <w:pStyle w:val="4"/>
      </w:pPr>
      <w:r>
        <w:t>2.2.3 周期理论 (Cycle Tracking)</w:t>
      </w:r>
    </w:p>
    <w:p w14:paraId="150E5DAF">
      <w:pPr>
        <w:spacing w:before="120" w:after="120"/>
      </w:pPr>
      <w:r>
        <w:rPr>
          <w:b/>
          <w:bCs/>
          <w:sz w:val="24"/>
          <w:szCs w:val="24"/>
        </w:rPr>
        <w:t>突破-回踩-再突破循环:</w:t>
      </w:r>
    </w:p>
    <w:p w14:paraId="74345C6C">
      <w:pPr>
        <w:pStyle w:val="17"/>
      </w:pPr>
      <w:r>
        <w:t>完整Cycle定义 (四个阶段):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872"/>
        <w:gridCol w:w="7488"/>
      </w:tblGrid>
      <w:tr w14:paraId="3DD9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082"/>
          </w:tcPr>
          <w:p w14:paraId="21F7BDB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阶段1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7DB7AE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初始突破 (Initial Breakout)</w:t>
            </w:r>
          </w:p>
          <w:p w14:paraId="2654AC33">
            <w:r>
              <w:rPr>
                <w:sz w:val="20"/>
                <w:szCs w:val="20"/>
              </w:rPr>
              <w:t>价格突破ORB High (做多) 或 ORB Low (做空)</w:t>
            </w:r>
          </w:p>
          <w:p w14:paraId="4C8899ED">
            <w:r>
              <w:rPr>
                <w:i/>
                <w:iCs/>
                <w:sz w:val="20"/>
                <w:szCs w:val="20"/>
              </w:rPr>
              <w:t>通常伴随成交量放大</w:t>
            </w:r>
          </w:p>
        </w:tc>
      </w:tr>
      <w:tr w14:paraId="0AED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5D6A7"/>
          </w:tcPr>
          <w:p w14:paraId="7785972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阶段2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E82DBC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回踩确认 (Retest)</w:t>
            </w:r>
          </w:p>
          <w:p w14:paraId="2F7FC3F4">
            <w:r>
              <w:rPr>
                <w:sz w:val="20"/>
                <w:szCs w:val="20"/>
              </w:rPr>
              <w:t>价格回踩ORB区间,测试支撑/阻力转换</w:t>
            </w:r>
          </w:p>
          <w:p w14:paraId="454A446D">
            <w:r>
              <w:rPr>
                <w:i/>
                <w:iCs/>
                <w:color w:val="2E7D32"/>
                <w:sz w:val="20"/>
                <w:szCs w:val="20"/>
              </w:rPr>
              <w:t>健康的回踩不会完全跌破ORB边界</w:t>
            </w:r>
          </w:p>
        </w:tc>
      </w:tr>
      <w:tr w14:paraId="4CDE7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0CAF9"/>
          </w:tcPr>
          <w:p w14:paraId="412AF9C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阶段3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E92CB9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再次突破 (Continuation)</w:t>
            </w:r>
          </w:p>
          <w:p w14:paraId="2B7AE8AC">
            <w:r>
              <w:rPr>
                <w:sz w:val="20"/>
                <w:szCs w:val="20"/>
              </w:rPr>
              <w:t>价格再次沿原方向突破,确认趋势延续</w:t>
            </w:r>
          </w:p>
          <w:p w14:paraId="3CA2023D">
            <w:r>
              <w:rPr>
                <w:i/>
                <w:iCs/>
                <w:color w:val="1565C0"/>
                <w:sz w:val="20"/>
                <w:szCs w:val="20"/>
              </w:rPr>
              <w:t>这是最佳的加仓时机</w:t>
            </w:r>
          </w:p>
        </w:tc>
      </w:tr>
      <w:tr w14:paraId="0CD7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E93D8"/>
          </w:tcPr>
          <w:p w14:paraId="47F8713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阶段4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653EC5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循环或反转 (Repeat or Reverse)</w:t>
            </w:r>
          </w:p>
          <w:p w14:paraId="27D04790">
            <w:r>
              <w:rPr>
                <w:sz w:val="20"/>
                <w:szCs w:val="20"/>
              </w:rPr>
              <w:t>重复阶段2-3 (趋势延续) 或出现反向突破 (开启新Cycle)</w:t>
            </w:r>
          </w:p>
        </w:tc>
      </w:tr>
    </w:tbl>
    <w:p w14:paraId="50BF36A5">
      <w:pPr>
        <w:spacing w:after="200"/>
      </w:pPr>
    </w:p>
    <w:p w14:paraId="1AA5FBE6">
      <w:pPr>
        <w:spacing w:after="100"/>
      </w:pPr>
      <w:r>
        <w:rPr>
          <w:b/>
          <w:bCs/>
          <w:sz w:val="22"/>
          <w:szCs w:val="22"/>
        </w:rPr>
        <w:t>Cycle追踪机制:</w:t>
      </w:r>
    </w:p>
    <w:p w14:paraId="46663609">
      <w:pPr>
        <w:pStyle w:val="15"/>
        <w:numPr>
          <w:ilvl w:val="0"/>
          <w:numId w:val="3"/>
        </w:numPr>
      </w:pPr>
      <w:r>
        <w:rPr>
          <w:color w:val="2E7D32"/>
          <w:sz w:val="22"/>
          <w:szCs w:val="22"/>
        </w:rPr>
        <w:t>最多追踪6个Cycles (可配置1-10)</w:t>
      </w:r>
    </w:p>
    <w:p w14:paraId="6C242B93">
      <w:pPr>
        <w:pStyle w:val="15"/>
        <w:numPr>
          <w:ilvl w:val="0"/>
          <w:numId w:val="3"/>
        </w:numPr>
      </w:pPr>
      <w:r>
        <w:rPr>
          <w:color w:val="2E7D32"/>
          <w:sz w:val="22"/>
          <w:szCs w:val="22"/>
        </w:rPr>
        <w:t>每个Cycle独立计数和标记 (#1, #2, #3...)</w:t>
      </w:r>
    </w:p>
    <w:p w14:paraId="33F04EF0">
      <w:pPr>
        <w:pStyle w:val="15"/>
        <w:numPr>
          <w:ilvl w:val="0"/>
          <w:numId w:val="3"/>
        </w:numPr>
      </w:pPr>
      <w:r>
        <w:rPr>
          <w:color w:val="2E7D32"/>
          <w:sz w:val="22"/>
          <w:szCs w:val="22"/>
        </w:rPr>
        <w:t>用于识别市场波动模式和趋势强度</w:t>
      </w:r>
    </w:p>
    <w:p w14:paraId="4D69554C">
      <w:pPr>
        <w:pStyle w:val="15"/>
        <w:numPr>
          <w:ilvl w:val="0"/>
          <w:numId w:val="3"/>
        </w:numPr>
      </w:pPr>
      <w:r>
        <w:rPr>
          <w:color w:val="2E7D32"/>
          <w:sz w:val="22"/>
          <w:szCs w:val="22"/>
        </w:rPr>
        <w:t>Cycle数量越多 = 趋势越强劲</w:t>
      </w:r>
    </w:p>
    <w:p w14:paraId="4ED3AAC6">
      <w:pPr>
        <w:spacing w:after="200"/>
      </w:pPr>
    </w:p>
    <w:p w14:paraId="1A8584D0">
      <w:pPr>
        <w:pStyle w:val="18"/>
      </w:pPr>
      <w:r>
        <w:t>💡 实战技巧: 当出现第2-3个Cycle时,通常是趋势最强的阶段,适合适度加仓。超过5个Cycle后,警惕趋势疲软和反转风险。</w:t>
      </w:r>
    </w:p>
    <w:p w14:paraId="2C3182F3">
      <w:r>
        <w:br w:type="page"/>
      </w:r>
    </w:p>
    <w:p w14:paraId="6EC471E8">
      <w:pPr>
        <w:pStyle w:val="3"/>
      </w:pPr>
      <w:r>
        <w:t>2.3 市场结构分析</w:t>
      </w:r>
    </w:p>
    <w:p w14:paraId="0B1A3BD7">
      <w:pPr>
        <w:pStyle w:val="4"/>
      </w:pPr>
      <w:r>
        <w:t>2.3.1 公允价值缺口 (Fair Value Gap - FVG)</w:t>
      </w:r>
    </w:p>
    <w:p w14:paraId="20E4C1A6">
      <w:pPr>
        <w:spacing w:after="120"/>
      </w:pPr>
      <w:r>
        <w:rPr>
          <w:b/>
          <w:bCs/>
          <w:sz w:val="22"/>
          <w:szCs w:val="22"/>
        </w:rPr>
        <w:t>FVG定义:</w:t>
      </w:r>
    </w:p>
    <w:p w14:paraId="32620FA5">
      <w:pPr>
        <w:shd w:val="clear" w:fill="FFF9C4"/>
        <w:spacing w:after="200"/>
        <w:ind w:left="360" w:right="360"/>
      </w:pPr>
      <w:r>
        <w:rPr>
          <w:sz w:val="22"/>
          <w:szCs w:val="22"/>
        </w:rPr>
        <w:t>价格快速运动时留下的"空白区域",表现为三根K线之间的价格跳跃。这些区域通常会成为强支撑/阻力,因为市场倾向于"填补"这些缺口。</w:t>
      </w:r>
    </w:p>
    <w:p w14:paraId="298529E9">
      <w:pPr>
        <w:pStyle w:val="17"/>
      </w:pPr>
      <w:r>
        <w:t>检测规则详解: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680"/>
        <w:gridCol w:w="4680"/>
      </w:tblGrid>
      <w:tr w14:paraId="39C4B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6F069590">
            <w:pPr>
              <w:spacing w:after="120"/>
            </w:pPr>
            <w:r>
              <w:rPr>
                <w:b/>
                <w:bCs/>
                <w:color w:val="2E7D32"/>
                <w:sz w:val="24"/>
                <w:szCs w:val="24"/>
              </w:rPr>
              <w:t>看涨FVG (Bullish FVG)</w:t>
            </w:r>
          </w:p>
          <w:p w14:paraId="44C8743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条件:</w:t>
            </w:r>
          </w:p>
          <w:p w14:paraId="26C2CC1F">
            <w:r>
              <w:rPr>
                <w:sz w:val="20"/>
                <w:szCs w:val="20"/>
              </w:rPr>
              <w:t>当前K线Low &gt; 前两根K线的High</w:t>
            </w:r>
          </w:p>
          <w:p w14:paraId="3478880D">
            <w:pPr>
              <w:spacing w:after="100"/>
            </w:pPr>
          </w:p>
          <w:p w14:paraId="6BA11011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计算:</w:t>
            </w:r>
          </w:p>
          <w:p w14:paraId="6D6CE75C">
            <w:r>
              <w:rPr>
                <w:sz w:val="18"/>
                <w:szCs w:val="18"/>
              </w:rPr>
              <w:t>FVG顶部 = 当前K线Low</w:t>
            </w:r>
          </w:p>
          <w:p w14:paraId="2371DFE8">
            <w:r>
              <w:rPr>
                <w:sz w:val="18"/>
                <w:szCs w:val="18"/>
              </w:rPr>
              <w:t>FVG底部 = 前两根K线High</w:t>
            </w:r>
          </w:p>
          <w:p w14:paraId="1270BD5A">
            <w:pPr>
              <w:spacing w:after="100"/>
            </w:pPr>
          </w:p>
          <w:p w14:paraId="36FDB6E6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意义:</w:t>
            </w:r>
          </w:p>
          <w:p w14:paraId="5A88EDA3">
            <w:r>
              <w:rPr>
                <w:sz w:val="18"/>
                <w:szCs w:val="18"/>
              </w:rPr>
              <w:t>回踩FVG区域是做多机会</w:t>
            </w:r>
          </w:p>
          <w:p w14:paraId="511DECD5">
            <w:r>
              <w:rPr>
                <w:sz w:val="18"/>
                <w:szCs w:val="18"/>
              </w:rPr>
              <w:t>FVG底部可作为止损参考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56C4110D">
            <w:pPr>
              <w:spacing w:after="120"/>
            </w:pPr>
            <w:r>
              <w:rPr>
                <w:b/>
                <w:bCs/>
                <w:color w:val="C62828"/>
                <w:sz w:val="24"/>
                <w:szCs w:val="24"/>
              </w:rPr>
              <w:t>看跌FVG (Bearish FVG)</w:t>
            </w:r>
          </w:p>
          <w:p w14:paraId="2780CBBC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条件:</w:t>
            </w:r>
          </w:p>
          <w:p w14:paraId="1DF6E6E7">
            <w:r>
              <w:rPr>
                <w:sz w:val="20"/>
                <w:szCs w:val="20"/>
              </w:rPr>
              <w:t>当前K线High &lt; 前两根K线的Low</w:t>
            </w:r>
          </w:p>
          <w:p w14:paraId="6414FAC1">
            <w:pPr>
              <w:spacing w:after="100"/>
            </w:pPr>
          </w:p>
          <w:p w14:paraId="0F4FB46C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计算:</w:t>
            </w:r>
          </w:p>
          <w:p w14:paraId="439F0CD8">
            <w:r>
              <w:rPr>
                <w:sz w:val="18"/>
                <w:szCs w:val="18"/>
              </w:rPr>
              <w:t>FVG顶部 = 前两根K线Low</w:t>
            </w:r>
          </w:p>
          <w:p w14:paraId="12CE42B3">
            <w:r>
              <w:rPr>
                <w:sz w:val="18"/>
                <w:szCs w:val="18"/>
              </w:rPr>
              <w:t>FVG底部 = 当前K线High</w:t>
            </w:r>
          </w:p>
          <w:p w14:paraId="4BD240BE">
            <w:pPr>
              <w:spacing w:after="100"/>
            </w:pPr>
          </w:p>
          <w:p w14:paraId="4F0E4A3A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意义:</w:t>
            </w:r>
          </w:p>
          <w:p w14:paraId="52BF9B6D">
            <w:r>
              <w:rPr>
                <w:sz w:val="18"/>
                <w:szCs w:val="18"/>
              </w:rPr>
              <w:t>反弹至FVG区域是做空机会</w:t>
            </w:r>
          </w:p>
          <w:p w14:paraId="7FA8CE65">
            <w:r>
              <w:rPr>
                <w:sz w:val="18"/>
                <w:szCs w:val="18"/>
              </w:rPr>
              <w:t>FVG顶部可作为止损参考</w:t>
            </w:r>
          </w:p>
        </w:tc>
      </w:tr>
    </w:tbl>
    <w:p w14:paraId="0A713334">
      <w:pPr>
        <w:spacing w:after="300"/>
      </w:pPr>
    </w:p>
    <w:p w14:paraId="4384B858">
      <w:pPr>
        <w:spacing w:after="120"/>
      </w:pPr>
      <w:r>
        <w:rPr>
          <w:b/>
          <w:bCs/>
          <w:sz w:val="24"/>
          <w:szCs w:val="24"/>
        </w:rPr>
        <w:t>FVG应用策略: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3510"/>
        <w:gridCol w:w="3510"/>
      </w:tblGrid>
      <w:tr w14:paraId="59C35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E57C2"/>
          </w:tcPr>
          <w:p w14:paraId="1E71FBD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应用场景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E57C2"/>
          </w:tcPr>
          <w:p w14:paraId="70887C9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具体操作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E57C2"/>
          </w:tcPr>
          <w:p w14:paraId="1D79A02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优势</w:t>
            </w:r>
          </w:p>
        </w:tc>
      </w:tr>
      <w:tr w14:paraId="0FFB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E0CED7">
            <w:r>
              <w:rPr>
                <w:b/>
                <w:bCs/>
                <w:sz w:val="20"/>
                <w:szCs w:val="20"/>
              </w:rPr>
              <w:t>突破确认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7CD426">
            <w:r>
              <w:rPr>
                <w:sz w:val="18"/>
                <w:szCs w:val="18"/>
              </w:rPr>
              <w:t>要求突破穿越FVG</w:t>
            </w:r>
          </w:p>
          <w:p w14:paraId="74D2F5FE">
            <w:r>
              <w:rPr>
                <w:sz w:val="18"/>
                <w:szCs w:val="18"/>
              </w:rPr>
              <w:t>增加可信度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9EC8D4">
            <w:r>
              <w:rPr>
                <w:sz w:val="18"/>
                <w:szCs w:val="18"/>
              </w:rPr>
              <w:t>过滤假突破</w:t>
            </w:r>
          </w:p>
          <w:p w14:paraId="5AB475A7">
            <w:r>
              <w:rPr>
                <w:sz w:val="18"/>
                <w:szCs w:val="18"/>
              </w:rPr>
              <w:t>提高胜率</w:t>
            </w:r>
          </w:p>
        </w:tc>
      </w:tr>
      <w:tr w14:paraId="006A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A796E1">
            <w:r>
              <w:rPr>
                <w:b/>
                <w:bCs/>
                <w:sz w:val="20"/>
                <w:szCs w:val="20"/>
              </w:rPr>
              <w:t>回踩目标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1C564A">
            <w:r>
              <w:rPr>
                <w:sz w:val="18"/>
                <w:szCs w:val="18"/>
              </w:rPr>
              <w:t>FVG区间作为理想entry zone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189180">
            <w:r>
              <w:rPr>
                <w:sz w:val="18"/>
                <w:szCs w:val="18"/>
              </w:rPr>
              <w:t>更好的入场价格</w:t>
            </w:r>
          </w:p>
          <w:p w14:paraId="1258B70C">
            <w:r>
              <w:rPr>
                <w:sz w:val="18"/>
                <w:szCs w:val="18"/>
              </w:rPr>
              <w:t>改善风险收益比</w:t>
            </w:r>
          </w:p>
        </w:tc>
      </w:tr>
      <w:tr w14:paraId="5804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3F0719">
            <w:r>
              <w:rPr>
                <w:b/>
                <w:bCs/>
                <w:sz w:val="20"/>
                <w:szCs w:val="20"/>
              </w:rPr>
              <w:t>止损设置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F2C7A3">
            <w:r>
              <w:rPr>
                <w:sz w:val="18"/>
                <w:szCs w:val="18"/>
              </w:rPr>
              <w:t>FVG边界作为止损参考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063290">
            <w:r>
              <w:rPr>
                <w:sz w:val="18"/>
                <w:szCs w:val="18"/>
              </w:rPr>
              <w:t>明确的技术位</w:t>
            </w:r>
          </w:p>
          <w:p w14:paraId="1A6061F9">
            <w:r>
              <w:rPr>
                <w:sz w:val="18"/>
                <w:szCs w:val="18"/>
              </w:rPr>
              <w:t>减少被止损的概率</w:t>
            </w:r>
          </w:p>
        </w:tc>
      </w:tr>
    </w:tbl>
    <w:p w14:paraId="3CBA0D53">
      <w:pPr>
        <w:spacing w:after="200"/>
      </w:pPr>
    </w:p>
    <w:p w14:paraId="666285B0">
      <w:pPr>
        <w:pStyle w:val="18"/>
      </w:pPr>
      <w:r>
        <w:t>⚠️ 注意: FVG过滤器会减少交易信号数量,但可显著提高信号质量。建议新手启用此过滤器,熟练后可根据市场情况灵活调整。</w:t>
      </w:r>
    </w:p>
    <w:p w14:paraId="37555692">
      <w:r>
        <w:br w:type="page"/>
      </w:r>
    </w:p>
    <w:p w14:paraId="0BA42BE3">
      <w:pPr>
        <w:pStyle w:val="3"/>
      </w:pPr>
      <w:r>
        <w:t>2.4 做多做空依据</w:t>
      </w:r>
    </w:p>
    <w:p w14:paraId="3F6DBE8A">
      <w:pPr>
        <w:pStyle w:val="4"/>
      </w:pPr>
      <w:r>
        <w:t>做多 (Long) 信号生成逻辑</w:t>
      </w:r>
    </w:p>
    <w:p w14:paraId="43BD7AB6">
      <w:pPr>
        <w:pStyle w:val="17"/>
      </w:pPr>
      <w:r>
        <w:t>必须同时满足的5大条件: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872"/>
        <w:gridCol w:w="7488"/>
      </w:tblGrid>
      <w:tr w14:paraId="6E73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8E6C9"/>
          </w:tcPr>
          <w:p w14:paraId="7C6523B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E90370"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>✓ 价格突破</w:t>
            </w:r>
          </w:p>
          <w:p w14:paraId="557CCE3F">
            <w:r>
              <w:rPr>
                <w:sz w:val="20"/>
                <w:szCs w:val="20"/>
              </w:rPr>
              <w:t>收盘价 &gt; ORB High + (ORB High × 突破缓冲%)</w:t>
            </w:r>
          </w:p>
          <w:p w14:paraId="78D37B55">
            <w:r>
              <w:rPr>
                <w:i/>
                <w:iCs/>
                <w:sz w:val="20"/>
                <w:szCs w:val="20"/>
              </w:rPr>
              <w:t>默认突破缓冲 = 0.2% (可配置0.1%-1.0%)</w:t>
            </w:r>
          </w:p>
        </w:tc>
      </w:tr>
      <w:tr w14:paraId="0337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8E6C9"/>
          </w:tcPr>
          <w:p w14:paraId="0A2E143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735600"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>✓ 成交量确认</w:t>
            </w:r>
          </w:p>
          <w:p w14:paraId="68757B42">
            <w:r>
              <w:rPr>
                <w:sz w:val="20"/>
                <w:szCs w:val="20"/>
              </w:rPr>
              <w:t>当前成交量 &gt; 20周期均量 × 1.5倍</w:t>
            </w:r>
          </w:p>
          <w:p w14:paraId="60F8D639">
            <w:r>
              <w:rPr>
                <w:b/>
                <w:bCs/>
                <w:i/>
                <w:iCs/>
                <w:sz w:val="20"/>
                <w:szCs w:val="20"/>
              </w:rPr>
              <w:t>强劲成交量 (免检其他条件): &gt; 20周期均量 × 2.0倍</w:t>
            </w:r>
          </w:p>
        </w:tc>
      </w:tr>
      <w:tr w14:paraId="43769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8E6C9"/>
          </w:tcPr>
          <w:p w14:paraId="7AE4FAA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1889D0"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>✓ 趋势确认</w:t>
            </w:r>
          </w:p>
          <w:p w14:paraId="2F988ABB">
            <w:r>
              <w:rPr>
                <w:sz w:val="20"/>
                <w:szCs w:val="20"/>
              </w:rPr>
              <w:t>价格 &gt; VWAP 且 价格 &gt; EMA20 &gt; EMA50 且</w:t>
            </w:r>
          </w:p>
          <w:p w14:paraId="7558DAD5">
            <w:r>
              <w:rPr>
                <w:i/>
                <w:iCs/>
                <w:sz w:val="20"/>
                <w:szCs w:val="20"/>
              </w:rPr>
              <w:t>(可选) HTF日线多头 且 (可选) SuperTrend显示上升趋势</w:t>
            </w:r>
          </w:p>
        </w:tc>
      </w:tr>
      <w:tr w14:paraId="22D9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8E6C9"/>
          </w:tcPr>
          <w:p w14:paraId="2DD963C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04A22F"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>✓ FVG支撑 (启用FVG过滤时)</w:t>
            </w:r>
          </w:p>
          <w:p w14:paraId="1523C607">
            <w:r>
              <w:rPr>
                <w:sz w:val="20"/>
                <w:szCs w:val="20"/>
              </w:rPr>
              <w:t>存在看涨FVG在ORB Low附近 ±2.0倍FVG高度范围内</w:t>
            </w:r>
          </w:p>
          <w:p w14:paraId="027BACF3">
            <w:r>
              <w:rPr>
                <w:i/>
                <w:iCs/>
                <w:sz w:val="20"/>
                <w:szCs w:val="20"/>
              </w:rPr>
              <w:t>FVG作为额外的支撑确认</w:t>
            </w:r>
          </w:p>
        </w:tc>
      </w:tr>
      <w:tr w14:paraId="7EE8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8E6C9"/>
          </w:tcPr>
          <w:p w14:paraId="27CB3CD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D57236"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>✓ 时间窗口</w:t>
            </w:r>
          </w:p>
          <w:p w14:paraId="44155086">
            <w:r>
              <w:rPr>
                <w:sz w:val="20"/>
                <w:szCs w:val="20"/>
              </w:rPr>
              <w:t>在ORB完成后的2小时内 (可配置1-4小时)</w:t>
            </w:r>
          </w:p>
          <w:p w14:paraId="6EC654BE">
            <w:r>
              <w:rPr>
                <w:i/>
                <w:iCs/>
                <w:sz w:val="20"/>
                <w:szCs w:val="20"/>
              </w:rPr>
              <w:t>避免临近收盘(最后30分钟)</w:t>
            </w:r>
          </w:p>
        </w:tc>
      </w:tr>
    </w:tbl>
    <w:p w14:paraId="2FA84BA1">
      <w:r>
        <w:br w:type="page"/>
      </w:r>
    </w:p>
    <w:p w14:paraId="33FD0911">
      <w:pPr>
        <w:pStyle w:val="4"/>
      </w:pPr>
      <w:r>
        <w:t>做空 (Short) 信号生成逻辑</w:t>
      </w:r>
    </w:p>
    <w:p w14:paraId="7F0B52EC">
      <w:pPr>
        <w:pStyle w:val="17"/>
      </w:pPr>
      <w:r>
        <w:t>必须同时满足的5大条件: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872"/>
        <w:gridCol w:w="7488"/>
      </w:tblGrid>
      <w:tr w14:paraId="3CD4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CDD2"/>
          </w:tcPr>
          <w:p w14:paraId="6439DDC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BCAE24">
            <w:pPr>
              <w:spacing w:after="80"/>
            </w:pPr>
            <w:r>
              <w:rPr>
                <w:b/>
                <w:bCs/>
                <w:color w:val="C62828"/>
                <w:sz w:val="24"/>
                <w:szCs w:val="24"/>
              </w:rPr>
              <w:t>✓ 价格突破</w:t>
            </w:r>
          </w:p>
          <w:p w14:paraId="5D52A9CF">
            <w:r>
              <w:rPr>
                <w:sz w:val="20"/>
                <w:szCs w:val="20"/>
              </w:rPr>
              <w:t>收盘价 &lt; ORB Low - (ORB Low × 突破缓冲%)</w:t>
            </w:r>
          </w:p>
          <w:p w14:paraId="00F461A2">
            <w:r>
              <w:rPr>
                <w:i/>
                <w:iCs/>
                <w:sz w:val="20"/>
                <w:szCs w:val="20"/>
              </w:rPr>
              <w:t>默认突破缓冲 = 0.2% (可配置0.1%-1.0%)</w:t>
            </w:r>
          </w:p>
        </w:tc>
      </w:tr>
      <w:tr w14:paraId="7855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CDD2"/>
          </w:tcPr>
          <w:p w14:paraId="0038E0C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718EC7">
            <w:pPr>
              <w:spacing w:after="80"/>
            </w:pPr>
            <w:r>
              <w:rPr>
                <w:b/>
                <w:bCs/>
                <w:color w:val="C62828"/>
                <w:sz w:val="24"/>
                <w:szCs w:val="24"/>
              </w:rPr>
              <w:t>✓ 成交量确认</w:t>
            </w:r>
          </w:p>
          <w:p w14:paraId="7642B546">
            <w:r>
              <w:rPr>
                <w:sz w:val="20"/>
                <w:szCs w:val="20"/>
              </w:rPr>
              <w:t>当前成交量 &gt; 20周期均量 × 1.5倍</w:t>
            </w:r>
          </w:p>
          <w:p w14:paraId="167D7B70">
            <w:r>
              <w:rPr>
                <w:b/>
                <w:bCs/>
                <w:i/>
                <w:iCs/>
                <w:sz w:val="20"/>
                <w:szCs w:val="20"/>
              </w:rPr>
              <w:t>强劲成交量: &gt; 20周期均量 × 2.0倍</w:t>
            </w:r>
          </w:p>
        </w:tc>
      </w:tr>
      <w:tr w14:paraId="67967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CDD2"/>
          </w:tcPr>
          <w:p w14:paraId="7868135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AEBEEA">
            <w:pPr>
              <w:spacing w:after="80"/>
            </w:pPr>
            <w:r>
              <w:rPr>
                <w:b/>
                <w:bCs/>
                <w:color w:val="C62828"/>
                <w:sz w:val="24"/>
                <w:szCs w:val="24"/>
              </w:rPr>
              <w:t>✓ 趋势确认</w:t>
            </w:r>
          </w:p>
          <w:p w14:paraId="14ED0959">
            <w:r>
              <w:rPr>
                <w:sz w:val="20"/>
                <w:szCs w:val="20"/>
              </w:rPr>
              <w:t>价格 &lt; VWAP 且 价格 &lt; EMA20 &lt; EMA50 且</w:t>
            </w:r>
          </w:p>
          <w:p w14:paraId="0C2C6B99">
            <w:r>
              <w:rPr>
                <w:i/>
                <w:iCs/>
                <w:sz w:val="20"/>
                <w:szCs w:val="20"/>
              </w:rPr>
              <w:t>(可选) HTF日线空头 且 (可选) SuperTrend显示下降趋势</w:t>
            </w:r>
          </w:p>
        </w:tc>
      </w:tr>
      <w:tr w14:paraId="7F27E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CDD2"/>
          </w:tcPr>
          <w:p w14:paraId="20108248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3F68AD">
            <w:pPr>
              <w:spacing w:after="80"/>
            </w:pPr>
            <w:r>
              <w:rPr>
                <w:b/>
                <w:bCs/>
                <w:color w:val="C62828"/>
                <w:sz w:val="24"/>
                <w:szCs w:val="24"/>
              </w:rPr>
              <w:t>✓ FVG压力 (启用FVG过滤时)</w:t>
            </w:r>
          </w:p>
          <w:p w14:paraId="3C85EC23">
            <w:r>
              <w:rPr>
                <w:sz w:val="20"/>
                <w:szCs w:val="20"/>
              </w:rPr>
              <w:t>存在看跌FVG在ORB High附近 ±2.0倍FVG高度范围内</w:t>
            </w:r>
          </w:p>
          <w:p w14:paraId="0C2F6998">
            <w:r>
              <w:rPr>
                <w:i/>
                <w:iCs/>
                <w:sz w:val="20"/>
                <w:szCs w:val="20"/>
              </w:rPr>
              <w:t>FVG作为额外的阻力确认</w:t>
            </w:r>
          </w:p>
        </w:tc>
      </w:tr>
      <w:tr w14:paraId="622D5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CDD2"/>
          </w:tcPr>
          <w:p w14:paraId="6F5E03F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74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2068B6">
            <w:pPr>
              <w:spacing w:after="80"/>
            </w:pPr>
            <w:r>
              <w:rPr>
                <w:b/>
                <w:bCs/>
                <w:color w:val="C62828"/>
                <w:sz w:val="24"/>
                <w:szCs w:val="24"/>
              </w:rPr>
              <w:t>✓ 时间窗口</w:t>
            </w:r>
          </w:p>
          <w:p w14:paraId="3A09B8A2">
            <w:r>
              <w:rPr>
                <w:sz w:val="20"/>
                <w:szCs w:val="20"/>
              </w:rPr>
              <w:t>在ORB完成后的2小时内 (可配置1-4小时)</w:t>
            </w:r>
          </w:p>
          <w:p w14:paraId="6F45C2F4">
            <w:r>
              <w:rPr>
                <w:i/>
                <w:iCs/>
                <w:sz w:val="20"/>
                <w:szCs w:val="20"/>
              </w:rPr>
              <w:t>避免临近收盘</w:t>
            </w:r>
          </w:p>
        </w:tc>
      </w:tr>
    </w:tbl>
    <w:p w14:paraId="26E88C68">
      <w:pPr>
        <w:spacing w:after="300"/>
      </w:pPr>
    </w:p>
    <w:p w14:paraId="18B16DF9">
      <w:pPr>
        <w:pStyle w:val="18"/>
      </w:pPr>
      <w:r>
        <w:t>💡 专业提示: 强劲成交量(2.0倍)出现时,说明有大资金介入,此时即使部分次要条件未完全满足,也可以考虑入场。但止损必须严格执行!</w:t>
      </w:r>
    </w:p>
    <w:p w14:paraId="43B0FACE">
      <w:r>
        <w:br w:type="page"/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4DB3F"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页 | 共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NUMPAGES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491F6">
    <w:pPr>
      <w:jc w:val="right"/>
    </w:pPr>
    <w:r>
      <w:rPr>
        <w:color w:val="666666"/>
        <w:sz w:val="18"/>
        <w:szCs w:val="18"/>
      </w:rPr>
      <w:t>TranTradingLab ORB Pro System | 专业版使用手册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796AF"/>
    <w:multiLevelType w:val="singleLevel"/>
    <w:tmpl w:val="831796A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AA1242A9"/>
    <w:multiLevelType w:val="singleLevel"/>
    <w:tmpl w:val="AA1242A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38A69D3A"/>
    <w:multiLevelType w:val="singleLevel"/>
    <w:tmpl w:val="38A69D3A"/>
    <w:lvl w:ilvl="0" w:tentative="0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1FA6F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1F4788" w:sz="2" w:space="0"/>
      </w:pBdr>
      <w:spacing w:before="400" w:after="240"/>
      <w:outlineLvl w:val="0"/>
    </w:pPr>
    <w:rPr>
      <w:rFonts w:ascii="Arial" w:hAnsi="Arial" w:eastAsia="Arial" w:cs="Arial"/>
      <w:b/>
      <w:bCs/>
      <w:color w:val="1F4788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80"/>
      <w:outlineLvl w:val="1"/>
    </w:pPr>
    <w:rPr>
      <w:rFonts w:ascii="Arial" w:hAnsi="Arial" w:eastAsia="Arial" w:cs="Arial"/>
      <w:b/>
      <w:bCs/>
      <w:color w:val="2E5C8A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40"/>
      <w:outlineLvl w:val="2"/>
    </w:pPr>
    <w:rPr>
      <w:rFonts w:ascii="Arial" w:hAnsi="Arial" w:eastAsia="Arial" w:cs="Arial"/>
      <w:b/>
      <w:bCs/>
      <w:color w:val="4A7BA7"/>
      <w:sz w:val="26"/>
      <w:szCs w:val="26"/>
    </w:rPr>
  </w:style>
  <w:style w:type="paragraph" w:styleId="5">
    <w:name w:val="heading 4"/>
    <w:next w:val="1"/>
    <w:qFormat/>
    <w:uiPriority w:val="0"/>
    <w:pPr>
      <w:spacing w:before="200" w:after="120"/>
      <w:outlineLvl w:val="3"/>
    </w:pPr>
    <w:rPr>
      <w:rFonts w:ascii="Arial" w:hAnsi="Arial" w:eastAsia="Arial" w:cs="Arial"/>
      <w:b/>
      <w:bCs/>
      <w:color w:val="5B8DB8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qFormat/>
    <w:uiPriority w:val="0"/>
    <w:pPr>
      <w:spacing w:after="80"/>
      <w:jc w:val="center"/>
    </w:pPr>
    <w:rPr>
      <w:rFonts w:ascii="Arial" w:hAnsi="Arial" w:eastAsia="Arial" w:cs="Arial"/>
      <w:i/>
      <w:iCs/>
      <w:color w:val="666666"/>
      <w:sz w:val="28"/>
      <w:szCs w:val="28"/>
    </w:rPr>
  </w:style>
  <w:style w:type="paragraph" w:styleId="9">
    <w:name w:val="footnote text"/>
    <w:link w:val="16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uiPriority w:val="0"/>
    <w:pPr>
      <w:spacing w:before="240" w:after="120"/>
      <w:jc w:val="center"/>
    </w:pPr>
    <w:rPr>
      <w:rFonts w:ascii="Arial" w:hAnsi="Arial" w:eastAsia="Arial" w:cs="Arial"/>
      <w:b/>
      <w:bCs/>
      <w:color w:val="1F4788"/>
      <w:sz w:val="60"/>
      <w:szCs w:val="60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6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7">
    <w:name w:val="Highlight"/>
    <w:uiPriority w:val="0"/>
    <w:pPr>
      <w:spacing w:before="160" w:after="120"/>
    </w:pPr>
    <w:rPr>
      <w:rFonts w:ascii="Arial" w:hAnsi="Arial" w:eastAsia="Arial" w:cs="Arial"/>
      <w:b/>
      <w:bCs/>
      <w:color w:val="D84315"/>
      <w:sz w:val="24"/>
      <w:szCs w:val="24"/>
    </w:rPr>
  </w:style>
  <w:style w:type="paragraph" w:customStyle="1" w:styleId="18">
    <w:name w:val="Note"/>
    <w:uiPriority w:val="0"/>
    <w:pPr>
      <w:spacing w:before="80" w:after="80"/>
      <w:ind w:left="720" w:right="720"/>
    </w:pPr>
    <w:rPr>
      <w:rFonts w:ascii="Arial" w:hAnsi="Arial" w:eastAsia="Arial" w:cs="Arial"/>
      <w:i/>
      <w:iCs/>
      <w:color w:val="666666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283</Words>
  <Characters>477</Characters>
  <TotalTime>0</TotalTime>
  <ScaleCrop>false</ScaleCrop>
  <LinksUpToDate>false</LinksUpToDate>
  <CharactersWithSpaces>521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2025-12-04T15:57:00Z</dcterms:created>
  <dc:creator>Un-named</dc:creator>
  <cp:lastModifiedBy>rick137</cp:lastModifiedBy>
  <dcterms:modified xsi:type="dcterms:W3CDTF">2025-12-04T16:01:39Z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99A6BD7FD3D34DD8A0D1A346DCC9465D_12</vt:lpwstr>
  </property>
</Properties>
</file>