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52F82">
      <w:pPr>
        <w:keepNext w:val="0"/>
        <w:keepLines w:val="0"/>
        <w:pageBreakBefore w:val="0"/>
        <w:widowControl/>
        <w:suppressLineNumbers w:val="0"/>
        <w:kinsoku/>
        <w:wordWrap/>
        <w:overflowPunct/>
        <w:topLinePunct w:val="0"/>
        <w:autoSpaceDE/>
        <w:autoSpaceDN/>
        <w:bidi w:val="0"/>
        <w:adjustRightInd/>
        <w:snapToGrid/>
        <w:spacing w:line="560" w:lineRule="exact"/>
        <w:jc w:val="both"/>
        <w:textAlignment w:val="auto"/>
        <w:rPr>
          <w:rFonts w:hint="eastAsia" w:ascii="PingFang HK Regular" w:hAnsi="PingFang HK Regular" w:eastAsia="PingFang HK Regular" w:cs="PingFang HK Regular"/>
          <w:b/>
          <w:bCs/>
          <w:color w:val="249087" w:themeColor="accent5" w:themeShade="BF"/>
          <w:kern w:val="0"/>
          <w:sz w:val="52"/>
          <w:szCs w:val="52"/>
          <w:lang w:val="en-US" w:eastAsia="zh-CN" w:bidi="ar"/>
        </w:rPr>
      </w:pPr>
      <w:r>
        <w:rPr>
          <w:rFonts w:hint="eastAsia" w:ascii="PingFang HK Regular" w:hAnsi="PingFang HK Regular" w:eastAsia="PingFang HK Regular" w:cs="PingFang HK Regular"/>
          <w:b/>
          <w:bCs/>
          <w:sz w:val="22"/>
          <w:szCs w:val="28"/>
        </w:rPr>
        <w:drawing>
          <wp:anchor distT="0" distB="0" distL="114300" distR="114300" simplePos="0" relativeHeight="251659264" behindDoc="0" locked="0" layoutInCell="1" allowOverlap="1">
            <wp:simplePos x="0" y="0"/>
            <wp:positionH relativeFrom="column">
              <wp:posOffset>2506345</wp:posOffset>
            </wp:positionH>
            <wp:positionV relativeFrom="paragraph">
              <wp:posOffset>49530</wp:posOffset>
            </wp:positionV>
            <wp:extent cx="1337945" cy="498475"/>
            <wp:effectExtent l="0" t="0" r="8255" b="9525"/>
            <wp:wrapTopAndBottom/>
            <wp:docPr id="4" name="图片 1" descr="/Users/tingtingx/Desktop/法律先生/logo/LOGO.pn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Users/tingtingx/Desktop/法律先生/logo/LOGO.pngLOGO"/>
                    <pic:cNvPicPr>
                      <a:picLocks noChangeAspect="1"/>
                    </pic:cNvPicPr>
                  </pic:nvPicPr>
                  <pic:blipFill>
                    <a:blip r:embed="rId4"/>
                    <a:srcRect/>
                    <a:stretch>
                      <a:fillRect/>
                    </a:stretch>
                  </pic:blipFill>
                  <pic:spPr>
                    <a:xfrm>
                      <a:off x="0" y="0"/>
                      <a:ext cx="1337945" cy="498475"/>
                    </a:xfrm>
                    <a:prstGeom prst="rect">
                      <a:avLst/>
                    </a:prstGeom>
                    <a:noFill/>
                    <a:ln>
                      <a:noFill/>
                    </a:ln>
                  </pic:spPr>
                </pic:pic>
              </a:graphicData>
            </a:graphic>
          </wp:anchor>
        </w:drawing>
      </w:r>
    </w:p>
    <w:p w14:paraId="65AE761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PingFang HK Regular" w:hAnsi="PingFang HK Regular" w:eastAsia="PingFang HK Regular" w:cs="PingFang HK Regular"/>
          <w:b w:val="0"/>
          <w:bCs/>
          <w:strike w:val="0"/>
          <w:dstrike w:val="0"/>
          <w:color w:val="44546A" w:themeColor="text2"/>
          <w:kern w:val="0"/>
          <w:sz w:val="71"/>
          <w:szCs w:val="71"/>
          <w:lang w:val="en-US" w:eastAsia="zh-CN" w:bidi="ar"/>
          <w14:textFill>
            <w14:solidFill>
              <w14:schemeClr w14:val="tx2"/>
            </w14:solidFill>
          </w14:textFill>
        </w:rPr>
      </w:pPr>
      <w:r>
        <w:rPr>
          <w:rFonts w:hint="eastAsia" w:ascii="PingFang HK Semibold" w:hAnsi="PingFang HK Semibold" w:eastAsia="PingFang HK Semibold" w:cs="PingFang HK Semibold"/>
          <w:b/>
          <w:bCs w:val="0"/>
          <w:strike w:val="0"/>
          <w:dstrike w:val="0"/>
          <w:color w:val="44546A" w:themeColor="text2"/>
          <w:kern w:val="0"/>
          <w:sz w:val="32"/>
          <w:szCs w:val="32"/>
          <w:lang w:val="en-US" w:eastAsia="zh-CN" w:bidi="ar"/>
          <w14:textFill>
            <w14:solidFill>
              <w14:schemeClr w14:val="tx2"/>
            </w14:solidFill>
          </w14:textFill>
        </w:rPr>
        <w:t>法律先生出海商学院</w:t>
      </w:r>
    </w:p>
    <w:p w14:paraId="07AD0E8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PingFang HK Regular" w:hAnsi="PingFang HK Regular" w:eastAsia="宋体" w:cs="PingFang HK Regular"/>
          <w:b/>
          <w:bCs w:val="0"/>
          <w:color w:val="44546A" w:themeColor="text2"/>
          <w:kern w:val="0"/>
          <w:sz w:val="44"/>
          <w:szCs w:val="44"/>
          <w:lang w:val="en-US" w:eastAsia="zh-CN" w:bidi="ar"/>
          <w14:textFill>
            <w14:solidFill>
              <w14:schemeClr w14:val="tx2"/>
            </w14:solidFill>
          </w14:textFill>
        </w:rPr>
      </w:pPr>
      <w:r>
        <w:rPr>
          <w:rFonts w:hint="eastAsia" w:ascii="PingFang HK Regular" w:hAnsi="PingFang HK Regular" w:eastAsia="PingFang HK Regular" w:cs="PingFang HK Regular"/>
          <w:b/>
          <w:bCs w:val="0"/>
          <w:color w:val="44546A" w:themeColor="text2"/>
          <w:kern w:val="0"/>
          <w:sz w:val="44"/>
          <w:szCs w:val="44"/>
          <w:lang w:val="en-US" w:eastAsia="zh-CN" w:bidi="ar"/>
          <w14:textFill>
            <w14:solidFill>
              <w14:schemeClr w14:val="tx2"/>
            </w14:solidFill>
          </w14:textFill>
        </w:rPr>
        <w:t xml:space="preserve">第12期 · </w:t>
      </w:r>
      <w:r>
        <w:rPr>
          <w:rFonts w:hint="eastAsia" w:ascii="PingFang HK Regular" w:hAnsi="PingFang HK Regular" w:eastAsia="PingFang HK Regular" w:cs="PingFang HK Regular"/>
          <w:b/>
          <w:bCs/>
          <w:color w:val="44546A" w:themeColor="text2"/>
          <w:spacing w:val="1"/>
          <w:sz w:val="44"/>
          <w:szCs w:val="44"/>
          <w14:textFill>
            <w14:solidFill>
              <w14:schemeClr w14:val="tx2"/>
            </w14:solidFill>
          </w14:textFill>
        </w:rPr>
        <w:t>越南</w:t>
      </w:r>
      <w:r>
        <w:rPr>
          <w:rFonts w:hint="eastAsia" w:ascii="PingFang HK Regular" w:hAnsi="PingFang HK Regular" w:eastAsia="宋体" w:cs="PingFang HK Regular"/>
          <w:b/>
          <w:bCs/>
          <w:color w:val="44546A" w:themeColor="text2"/>
          <w:spacing w:val="1"/>
          <w:sz w:val="44"/>
          <w:szCs w:val="44"/>
          <w:lang w:val="en-US" w:eastAsia="zh-CN"/>
          <w14:textFill>
            <w14:solidFill>
              <w14:schemeClr w14:val="tx2"/>
            </w14:solidFill>
          </w14:textFill>
        </w:rPr>
        <w:t>深度考察与出海现场课</w:t>
      </w:r>
    </w:p>
    <w:p w14:paraId="41678D6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PingFang HK Regular" w:hAnsi="PingFang HK Regular" w:eastAsia="PingFang HK Regular" w:cs="PingFang HK Regular"/>
          <w:b w:val="0"/>
          <w:color w:val="44546A" w:themeColor="text2"/>
          <w:sz w:val="21"/>
          <w:szCs w:val="21"/>
          <w:lang w:val="en-US" w:eastAsia="zh-CN"/>
          <w14:textFill>
            <w14:solidFill>
              <w14:schemeClr w14:val="tx2"/>
            </w14:solidFill>
          </w14:textFill>
        </w:rPr>
      </w:pPr>
      <w:r>
        <w:rPr>
          <w:rFonts w:hint="eastAsia" w:ascii="PingFang HK Regular" w:hAnsi="PingFang HK Regular" w:eastAsia="PingFang HK Regular" w:cs="PingFang HK Regular"/>
          <w:b w:val="0"/>
          <w:color w:val="44546A" w:themeColor="text2"/>
          <w:kern w:val="0"/>
          <w:sz w:val="21"/>
          <w:szCs w:val="21"/>
          <w:lang w:val="en-US" w:eastAsia="zh-CN" w:bidi="ar"/>
          <w14:textFill>
            <w14:solidFill>
              <w14:schemeClr w14:val="tx2"/>
            </w14:solidFill>
          </w14:textFill>
        </w:rPr>
        <w:t>2026 年 2月25日 - 2月28日 | 越南</w:t>
      </w:r>
      <w:r>
        <w:rPr>
          <w:rFonts w:hint="eastAsia" w:ascii="PingFang HK Regular" w:hAnsi="PingFang HK Regular" w:eastAsia="PingFang HK Regular" w:cs="PingFang HK Regular"/>
          <w:b w:val="0"/>
          <w:color w:val="44546A" w:themeColor="text2"/>
          <w:kern w:val="0"/>
          <w:sz w:val="21"/>
          <w:szCs w:val="21"/>
          <w:lang w:eastAsia="zh-CN" w:bidi="ar"/>
          <w14:textFill>
            <w14:solidFill>
              <w14:schemeClr w14:val="tx2"/>
            </w14:solidFill>
          </w14:textFill>
        </w:rPr>
        <w:t>·</w:t>
      </w:r>
      <w:r>
        <w:rPr>
          <w:rFonts w:hint="eastAsia" w:ascii="PingFang HK Regular" w:hAnsi="PingFang HK Regular" w:eastAsia="PingFang HK Regular" w:cs="PingFang HK Regular"/>
          <w:b w:val="0"/>
          <w:color w:val="44546A" w:themeColor="text2"/>
          <w:kern w:val="0"/>
          <w:sz w:val="21"/>
          <w:szCs w:val="21"/>
          <w:lang w:val="en-US" w:eastAsia="zh-CN" w:bidi="ar"/>
          <w14:textFill>
            <w14:solidFill>
              <w14:schemeClr w14:val="tx2"/>
            </w14:solidFill>
          </w14:textFill>
        </w:rPr>
        <w:t>胡志明市（4天3晚）</w:t>
      </w:r>
    </w:p>
    <w:tbl>
      <w:tblPr>
        <w:tblStyle w:val="4"/>
        <w:tblpPr w:leftFromText="180" w:rightFromText="180" w:vertAnchor="text" w:horzAnchor="page" w:tblpXSpec="center" w:tblpY="578"/>
        <w:tblOverlap w:val="never"/>
        <w:tblW w:w="10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000"/>
      </w:tblGrid>
      <w:tr w14:paraId="1500D8B1">
        <w:trPr>
          <w:trHeight w:val="481" w:hRule="atLeast"/>
          <w:jc w:val="center"/>
        </w:trPr>
        <w:tc>
          <w:tcPr>
            <w:tcW w:w="10000" w:type="dxa"/>
            <w:tcBorders>
              <w:top w:val="nil"/>
              <w:left w:val="nil"/>
              <w:bottom w:val="nil"/>
              <w:right w:val="nil"/>
            </w:tcBorders>
            <w:shd w:val="clear" w:color="auto" w:fill="B4C6E7"/>
            <w:noWrap/>
            <w:vAlign w:val="center"/>
          </w:tcPr>
          <w:p w14:paraId="2E57BD0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b/>
                <w:bCs/>
                <w:i w:val="0"/>
                <w:iCs w:val="0"/>
                <w:color w:val="000000"/>
                <w:sz w:val="24"/>
                <w:szCs w:val="24"/>
                <w:u w:val="none"/>
                <w:lang w:val="en-US"/>
              </w:rPr>
            </w:pPr>
            <w:r>
              <w:rPr>
                <w:rFonts w:hint="eastAsia" w:ascii="苹方" w:hAnsi="苹方" w:eastAsia="苹方" w:cs="苹方"/>
                <w:b/>
                <w:bCs/>
                <w:i w:val="0"/>
                <w:iCs w:val="0"/>
                <w:color w:val="000000"/>
                <w:kern w:val="0"/>
                <w:sz w:val="24"/>
                <w:szCs w:val="24"/>
                <w:u w:val="none"/>
                <w:lang w:val="en-US" w:eastAsia="zh-CN" w:bidi="ar"/>
              </w:rPr>
              <w:t>考察背景与宗旨</w:t>
            </w:r>
          </w:p>
        </w:tc>
      </w:tr>
      <w:tr w14:paraId="40A80C19">
        <w:trPr>
          <w:trHeight w:val="2884" w:hRule="atLeast"/>
          <w:jc w:val="center"/>
        </w:trPr>
        <w:tc>
          <w:tcPr>
            <w:tcW w:w="10000" w:type="dxa"/>
            <w:tcBorders>
              <w:top w:val="nil"/>
              <w:left w:val="nil"/>
              <w:bottom w:val="nil"/>
              <w:right w:val="nil"/>
            </w:tcBorders>
            <w:shd w:val="clear" w:color="auto" w:fill="auto"/>
            <w:vAlign w:val="center"/>
          </w:tcPr>
          <w:p w14:paraId="0B30E9E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kern w:val="0"/>
                <w:sz w:val="24"/>
                <w:szCs w:val="24"/>
                <w:u w:val="none"/>
                <w:lang w:val="en-US" w:eastAsia="zh-CN" w:bidi="ar"/>
              </w:rPr>
            </w:pPr>
          </w:p>
          <w:p w14:paraId="2764C87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kern w:val="0"/>
                <w:sz w:val="24"/>
                <w:szCs w:val="24"/>
                <w:u w:val="none"/>
                <w:lang w:val="en-US" w:eastAsia="zh-CN" w:bidi="ar"/>
              </w:rPr>
            </w:pPr>
            <w:r>
              <w:rPr>
                <w:rFonts w:hint="eastAsia" w:ascii="苹方" w:hAnsi="苹方" w:eastAsia="苹方" w:cs="苹方"/>
                <w:i w:val="0"/>
                <w:iCs w:val="0"/>
                <w:color w:val="000000"/>
                <w:kern w:val="0"/>
                <w:sz w:val="24"/>
                <w:szCs w:val="24"/>
                <w:u w:val="none"/>
                <w:lang w:val="en-US" w:eastAsia="zh-CN" w:bidi="ar"/>
              </w:rPr>
              <w:t>世界局势变幻莫测，如何在巨大的不确定性中寻找发展的方向，去寻找更可靠的信息，去寻找更可靠的资源，谋求新的发展机遇，这是企业家与律师共同面临的问题 。</w:t>
            </w:r>
          </w:p>
          <w:p w14:paraId="63FD9D6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kern w:val="0"/>
                <w:sz w:val="24"/>
                <w:szCs w:val="24"/>
                <w:u w:val="none"/>
                <w:lang w:val="en-US" w:eastAsia="zh-CN" w:bidi="ar"/>
              </w:rPr>
            </w:pPr>
            <w:r>
              <w:rPr>
                <w:rFonts w:hint="eastAsia" w:ascii="苹方" w:hAnsi="苹方" w:eastAsia="苹方" w:cs="苹方"/>
                <w:i w:val="0"/>
                <w:iCs w:val="0"/>
                <w:color w:val="000000"/>
                <w:kern w:val="0"/>
                <w:sz w:val="24"/>
                <w:szCs w:val="24"/>
                <w:u w:val="none"/>
                <w:lang w:val="en-US" w:eastAsia="zh-CN" w:bidi="ar"/>
              </w:rPr>
              <w:t>本项目发起的初衷与宗旨，就是联合有出海需求的企业家、律师、法务总等价值观趋同的朋友， 帮助大家从过去的舒适圈，从过去的模型，从过去的环境中抽身而出，走出去考察、观察 、学习 、思考 、辨别、讨论、交流、合作，拓展自己与世界的连接，去谋求更大的发展。</w:t>
            </w:r>
          </w:p>
          <w:p w14:paraId="4AF98E1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kern w:val="0"/>
                <w:sz w:val="24"/>
                <w:szCs w:val="24"/>
                <w:u w:val="none"/>
                <w:lang w:val="en-US" w:eastAsia="zh-CN" w:bidi="ar"/>
              </w:rPr>
            </w:pPr>
            <w:r>
              <w:rPr>
                <w:rFonts w:hint="eastAsia" w:ascii="苹方" w:hAnsi="苹方" w:eastAsia="苹方" w:cs="苹方"/>
                <w:i w:val="0"/>
                <w:iCs w:val="0"/>
                <w:color w:val="000000"/>
                <w:kern w:val="0"/>
                <w:sz w:val="24"/>
                <w:szCs w:val="24"/>
                <w:u w:val="none"/>
                <w:lang w:val="en-US" w:eastAsia="zh-CN" w:bidi="ar"/>
              </w:rPr>
              <w:t>本期聚焦在越南的投资机遇、市场的考察、以及对越南政治、法律、金融制度的了解，连接越南各界资源，帮助大家更好地了解和理解越南的市场，找到更好地方式在越南谋求更大的发展。</w:t>
            </w:r>
          </w:p>
          <w:p w14:paraId="6175437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kern w:val="0"/>
                <w:sz w:val="24"/>
                <w:szCs w:val="24"/>
                <w:u w:val="none"/>
                <w:lang w:val="en-US" w:eastAsia="zh-CN" w:bidi="ar"/>
              </w:rPr>
            </w:pPr>
          </w:p>
          <w:p w14:paraId="45639FBD">
            <w:pPr>
              <w:keepNext w:val="0"/>
              <w:keepLines w:val="0"/>
              <w:widowControl/>
              <w:numPr>
                <w:ilvl w:val="0"/>
                <w:numId w:val="0"/>
              </w:numPr>
              <w:suppressLineNumbers w:val="0"/>
              <w:spacing w:line="360" w:lineRule="auto"/>
              <w:jc w:val="left"/>
              <w:textAlignment w:val="center"/>
              <w:rPr>
                <w:rFonts w:hint="eastAsia" w:ascii="苹方" w:hAnsi="苹方" w:eastAsia="苹方" w:cs="苹方"/>
                <w:i w:val="0"/>
                <w:iCs w:val="0"/>
                <w:color w:val="000000"/>
                <w:kern w:val="0"/>
                <w:sz w:val="24"/>
                <w:szCs w:val="24"/>
                <w:u w:val="none"/>
                <w:lang w:val="en-US" w:eastAsia="zh-CN" w:bidi="ar"/>
              </w:rPr>
            </w:pPr>
            <w:r>
              <w:rPr>
                <w:rFonts w:hint="eastAsia" w:ascii="苹方" w:hAnsi="苹方" w:eastAsia="苹方" w:cs="苹方"/>
                <w:i w:val="0"/>
                <w:iCs w:val="0"/>
                <w:color w:val="000000"/>
                <w:kern w:val="0"/>
                <w:sz w:val="24"/>
                <w:szCs w:val="24"/>
                <w:u w:val="none"/>
                <w:lang w:val="en-US" w:eastAsia="zh-CN" w:bidi="ar"/>
              </w:rPr>
              <w:t>新时期，新机遇，新方法，新人生。</w:t>
            </w:r>
          </w:p>
          <w:p w14:paraId="70FF26E7">
            <w:pPr>
              <w:keepNext w:val="0"/>
              <w:keepLines w:val="0"/>
              <w:widowControl/>
              <w:numPr>
                <w:ilvl w:val="0"/>
                <w:numId w:val="0"/>
              </w:numPr>
              <w:suppressLineNumbers w:val="0"/>
              <w:spacing w:line="360" w:lineRule="auto"/>
              <w:jc w:val="left"/>
              <w:textAlignment w:val="center"/>
              <w:rPr>
                <w:rFonts w:hint="eastAsia" w:ascii="苹方" w:hAnsi="苹方" w:eastAsia="苹方" w:cs="苹方"/>
                <w:i w:val="0"/>
                <w:iCs w:val="0"/>
                <w:color w:val="000000"/>
                <w:kern w:val="0"/>
                <w:sz w:val="24"/>
                <w:szCs w:val="24"/>
                <w:u w:val="none"/>
                <w:lang w:eastAsia="zh-CN" w:bidi="ar"/>
              </w:rPr>
            </w:pPr>
            <w:r>
              <w:rPr>
                <w:rFonts w:hint="eastAsia" w:ascii="苹方" w:hAnsi="苹方" w:eastAsia="苹方" w:cs="苹方"/>
                <w:i w:val="0"/>
                <w:iCs w:val="0"/>
                <w:color w:val="000000"/>
                <w:kern w:val="0"/>
                <w:sz w:val="24"/>
                <w:szCs w:val="24"/>
                <w:u w:val="none"/>
                <w:lang w:val="en-US" w:eastAsia="zh-CN" w:bidi="ar"/>
              </w:rPr>
              <w:t>2026年2月25日～2月28日</w:t>
            </w:r>
          </w:p>
          <w:p w14:paraId="32DBFFFD">
            <w:pPr>
              <w:keepNext w:val="0"/>
              <w:keepLines w:val="0"/>
              <w:widowControl/>
              <w:numPr>
                <w:ilvl w:val="0"/>
                <w:numId w:val="0"/>
              </w:numPr>
              <w:suppressLineNumbers w:val="0"/>
              <w:spacing w:line="360" w:lineRule="auto"/>
              <w:jc w:val="left"/>
              <w:textAlignment w:val="center"/>
              <w:rPr>
                <w:rFonts w:hint="eastAsia" w:ascii="苹方" w:hAnsi="苹方" w:eastAsia="苹方" w:cs="苹方"/>
                <w:i w:val="0"/>
                <w:iCs w:val="0"/>
                <w:color w:val="000000"/>
                <w:kern w:val="0"/>
                <w:sz w:val="24"/>
                <w:szCs w:val="24"/>
                <w:u w:val="none"/>
                <w:lang w:val="en-US" w:eastAsia="zh-CN" w:bidi="ar"/>
              </w:rPr>
            </w:pPr>
            <w:r>
              <w:rPr>
                <w:rFonts w:hint="eastAsia" w:ascii="苹方" w:hAnsi="苹方" w:eastAsia="苹方" w:cs="苹方"/>
                <w:i w:val="0"/>
                <w:iCs w:val="0"/>
                <w:color w:val="000000"/>
                <w:kern w:val="0"/>
                <w:sz w:val="24"/>
                <w:szCs w:val="24"/>
                <w:u w:val="none"/>
                <w:lang w:val="en-US" w:eastAsia="zh-CN" w:bidi="ar"/>
              </w:rPr>
              <w:t>停止内卷，出海拼杀！</w:t>
            </w:r>
          </w:p>
          <w:p w14:paraId="6C86E06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kern w:val="0"/>
                <w:sz w:val="24"/>
                <w:szCs w:val="24"/>
                <w:u w:val="none"/>
                <w:lang w:val="en-US" w:eastAsia="zh-CN" w:bidi="ar"/>
              </w:rPr>
            </w:pPr>
            <w:r>
              <w:rPr>
                <w:rFonts w:hint="eastAsia" w:ascii="苹方" w:hAnsi="苹方" w:eastAsia="苹方" w:cs="苹方"/>
                <w:i w:val="0"/>
                <w:iCs w:val="0"/>
                <w:color w:val="000000"/>
                <w:kern w:val="0"/>
                <w:sz w:val="24"/>
                <w:szCs w:val="24"/>
                <w:u w:val="none"/>
                <w:lang w:val="en-US" w:eastAsia="zh-CN" w:bidi="ar"/>
              </w:rPr>
              <w:t>我们，西贡见！</w:t>
            </w:r>
          </w:p>
          <w:p w14:paraId="37999AA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kern w:val="0"/>
                <w:sz w:val="24"/>
                <w:szCs w:val="24"/>
                <w:u w:val="none"/>
                <w:lang w:val="en-US" w:eastAsia="zh-CN" w:bidi="ar"/>
              </w:rPr>
            </w:pPr>
          </w:p>
          <w:p w14:paraId="7F44F5E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kern w:val="0"/>
                <w:sz w:val="24"/>
                <w:szCs w:val="24"/>
                <w:u w:val="none"/>
                <w:lang w:val="en-US" w:eastAsia="zh-CN" w:bidi="ar"/>
              </w:rPr>
            </w:pPr>
          </w:p>
        </w:tc>
      </w:tr>
      <w:tr w14:paraId="63538B4A">
        <w:trPr>
          <w:trHeight w:val="481" w:hRule="atLeast"/>
          <w:jc w:val="center"/>
        </w:trPr>
        <w:tc>
          <w:tcPr>
            <w:tcW w:w="10000" w:type="dxa"/>
            <w:tcBorders>
              <w:top w:val="nil"/>
              <w:left w:val="nil"/>
              <w:bottom w:val="nil"/>
              <w:right w:val="nil"/>
            </w:tcBorders>
            <w:shd w:val="clear" w:color="auto" w:fill="B4C6E7"/>
            <w:noWrap/>
            <w:vAlign w:val="center"/>
          </w:tcPr>
          <w:p w14:paraId="6BD9E2C3">
            <w:pPr>
              <w:keepNext w:val="0"/>
              <w:keepLines w:val="0"/>
              <w:widowControl/>
              <w:suppressLineNumbers w:val="0"/>
              <w:spacing w:line="360" w:lineRule="auto"/>
              <w:jc w:val="center"/>
              <w:rPr>
                <w:rFonts w:hint="eastAsia" w:ascii="苹方" w:hAnsi="苹方" w:eastAsia="苹方" w:cs="苹方"/>
                <w:b/>
                <w:bCs/>
                <w:i w:val="0"/>
                <w:iCs w:val="0"/>
                <w:color w:val="000000"/>
                <w:kern w:val="0"/>
                <w:sz w:val="24"/>
                <w:szCs w:val="24"/>
                <w:u w:val="none"/>
                <w:lang w:val="en-US" w:eastAsia="zh-CN" w:bidi="ar"/>
              </w:rPr>
            </w:pPr>
            <w:r>
              <w:rPr>
                <w:rFonts w:hint="eastAsia" w:ascii="苹方" w:hAnsi="苹方" w:eastAsia="苹方" w:cs="苹方"/>
                <w:b/>
                <w:bCs/>
                <w:i w:val="0"/>
                <w:iCs w:val="0"/>
                <w:color w:val="000000"/>
                <w:kern w:val="0"/>
                <w:sz w:val="24"/>
                <w:szCs w:val="24"/>
                <w:u w:val="none"/>
                <w:lang w:val="en-US" w:eastAsia="zh-CN" w:bidi="ar"/>
              </w:rPr>
              <w:t>行程大纲和内容</w:t>
            </w:r>
          </w:p>
          <w:p w14:paraId="3DDA95F6">
            <w:pPr>
              <w:keepNext w:val="0"/>
              <w:keepLines w:val="0"/>
              <w:widowControl/>
              <w:suppressLineNumbers w:val="0"/>
              <w:spacing w:line="360" w:lineRule="auto"/>
              <w:jc w:val="center"/>
              <w:rPr>
                <w:rFonts w:hint="eastAsia" w:ascii="苹方" w:hAnsi="苹方" w:eastAsia="苹方" w:cs="苹方"/>
                <w:b/>
                <w:bCs/>
                <w:i w:val="0"/>
                <w:iCs w:val="0"/>
                <w:color w:val="000000"/>
                <w:kern w:val="0"/>
                <w:sz w:val="24"/>
                <w:szCs w:val="24"/>
                <w:u w:val="none"/>
                <w:lang w:val="en-US" w:eastAsia="zh-CN" w:bidi="ar"/>
              </w:rPr>
            </w:pPr>
            <w:r>
              <w:rPr>
                <w:rFonts w:hint="eastAsia" w:ascii="苹方" w:hAnsi="苹方" w:eastAsia="苹方" w:cs="苹方"/>
                <w:b/>
                <w:bCs/>
                <w:i w:val="0"/>
                <w:iCs w:val="0"/>
                <w:color w:val="000000"/>
                <w:kern w:val="0"/>
                <w:sz w:val="24"/>
                <w:szCs w:val="24"/>
                <w:u w:val="none"/>
                <w:lang w:val="en-US" w:eastAsia="zh-CN" w:bidi="ar"/>
              </w:rPr>
              <w:t>信息、资源与未来</w:t>
            </w:r>
          </w:p>
        </w:tc>
      </w:tr>
      <w:tr w14:paraId="0F93FCF4">
        <w:trPr>
          <w:trHeight w:val="112" w:hRule="atLeast"/>
          <w:jc w:val="center"/>
        </w:trPr>
        <w:tc>
          <w:tcPr>
            <w:tcW w:w="10000" w:type="dxa"/>
            <w:tcBorders>
              <w:top w:val="nil"/>
              <w:left w:val="nil"/>
              <w:bottom w:val="nil"/>
              <w:right w:val="nil"/>
            </w:tcBorders>
            <w:shd w:val="clear" w:color="auto" w:fill="auto"/>
            <w:vAlign w:val="center"/>
          </w:tcPr>
          <w:p w14:paraId="190A304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b/>
                <w:bCs/>
                <w:i w:val="0"/>
                <w:iCs w:val="0"/>
                <w:color w:val="auto"/>
                <w:kern w:val="0"/>
                <w:sz w:val="24"/>
                <w:szCs w:val="24"/>
                <w:u w:val="single"/>
                <w:lang w:val="en-US" w:eastAsia="zh-CN" w:bidi="ar"/>
              </w:rPr>
            </w:pPr>
          </w:p>
          <w:p w14:paraId="212507E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b/>
                <w:bCs/>
                <w:i w:val="0"/>
                <w:iCs w:val="0"/>
                <w:color w:val="auto"/>
                <w:kern w:val="0"/>
                <w:sz w:val="24"/>
                <w:szCs w:val="24"/>
                <w:u w:val="single"/>
                <w:lang w:val="en-US" w:eastAsia="zh-CN" w:bidi="ar"/>
              </w:rPr>
            </w:pPr>
            <w:r>
              <w:rPr>
                <w:rFonts w:hint="eastAsia" w:ascii="苹方" w:hAnsi="苹方" w:eastAsia="苹方" w:cs="苹方"/>
                <w:b/>
                <w:bCs/>
                <w:i w:val="0"/>
                <w:iCs w:val="0"/>
                <w:color w:val="auto"/>
                <w:kern w:val="0"/>
                <w:sz w:val="24"/>
                <w:szCs w:val="24"/>
                <w:u w:val="single"/>
                <w:lang w:val="en-US" w:eastAsia="zh-CN" w:bidi="ar"/>
              </w:rPr>
              <w:t>课程的联合发起：</w:t>
            </w:r>
          </w:p>
          <w:p w14:paraId="7CB4DDE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法律先生、中欧法律基金会、世界青年律师论坛、</w:t>
            </w:r>
          </w:p>
          <w:p w14:paraId="6983FBA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粤港澳大湾区金融研究院、法律先生出海商学院</w:t>
            </w:r>
          </w:p>
          <w:p w14:paraId="735CDCC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p>
          <w:p w14:paraId="6044F5F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b/>
                <w:bCs/>
                <w:i w:val="0"/>
                <w:iCs w:val="0"/>
                <w:color w:val="auto"/>
                <w:kern w:val="0"/>
                <w:sz w:val="24"/>
                <w:szCs w:val="24"/>
                <w:u w:val="single"/>
                <w:lang w:val="en-US" w:eastAsia="zh-CN" w:bidi="ar"/>
              </w:rPr>
            </w:pPr>
            <w:r>
              <w:rPr>
                <w:rFonts w:hint="eastAsia" w:ascii="苹方" w:hAnsi="苹方" w:eastAsia="苹方" w:cs="苹方"/>
                <w:b/>
                <w:bCs/>
                <w:i w:val="0"/>
                <w:iCs w:val="0"/>
                <w:color w:val="auto"/>
                <w:kern w:val="0"/>
                <w:sz w:val="24"/>
                <w:szCs w:val="24"/>
                <w:u w:val="single"/>
                <w:lang w:val="en-US" w:eastAsia="zh-CN" w:bidi="ar"/>
              </w:rPr>
              <w:t>课程目标：</w:t>
            </w:r>
          </w:p>
          <w:p w14:paraId="0FDEE1D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为同行者提供深入了解越南法律环境和经济实务的机会，强化涉外法律服务能力，构建国际合作网络，帮助大家适应全球化法律服务的需求，并在越南法律市场中建立实战策略和人脉网络。</w:t>
            </w:r>
          </w:p>
          <w:p w14:paraId="3A52F82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p>
          <w:p w14:paraId="7358E9B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b/>
                <w:bCs/>
                <w:i w:val="0"/>
                <w:iCs w:val="0"/>
                <w:color w:val="auto"/>
                <w:kern w:val="0"/>
                <w:sz w:val="24"/>
                <w:szCs w:val="24"/>
                <w:u w:val="none"/>
                <w:lang w:val="en-US" w:eastAsia="zh-CN" w:bidi="ar"/>
              </w:rPr>
            </w:pPr>
            <w:r>
              <w:rPr>
                <w:rFonts w:hint="eastAsia" w:ascii="苹方" w:hAnsi="苹方" w:eastAsia="苹方" w:cs="苹方"/>
                <w:b/>
                <w:bCs/>
                <w:i w:val="0"/>
                <w:iCs w:val="0"/>
                <w:color w:val="auto"/>
                <w:kern w:val="0"/>
                <w:sz w:val="24"/>
                <w:szCs w:val="24"/>
                <w:u w:val="single"/>
                <w:lang w:val="en-US" w:eastAsia="zh-CN" w:bidi="ar"/>
              </w:rPr>
              <w:t>主要内容：</w:t>
            </w:r>
          </w:p>
          <w:p w14:paraId="7BA0F8D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1、越南的法律与商业环境：探讨越南的商法体系及其对外资的吸引力，特别是在投资法律框架和商业政策的最新变化。</w:t>
            </w:r>
          </w:p>
          <w:p w14:paraId="4C00507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2、国际商事实践与当地法律结合：分析越南在国际贸易中的法律实践，以及如何有效利用当地法律支持跨国运营。</w:t>
            </w:r>
          </w:p>
          <w:p w14:paraId="03FD479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3、投资机会与风险管理：考察越南的主要投资领域和产业，评估投资机会与潜在风险。</w:t>
            </w:r>
          </w:p>
          <w:p w14:paraId="54BCABF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4、越南的经济发展动向：通过访问当地企业和工业园区，了解越南的经济发展趋势及其对全球市场的影响。</w:t>
            </w:r>
          </w:p>
          <w:p w14:paraId="7E31653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5、与越南律师和商业专家的交流：组织与越南律所和税务机构的专业交流，探讨在越南的法律服务与合作机会。</w:t>
            </w:r>
          </w:p>
          <w:p w14:paraId="164F90F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6、跨文化交流与合作：通过与越南法律和经济专家的深入讨论，加强文化理解和专业合作。</w:t>
            </w:r>
          </w:p>
          <w:p w14:paraId="4638D8B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法律实践的道德与责任：讨论在国际环境中实践法律的道德责任与职业标准。</w:t>
            </w:r>
          </w:p>
          <w:p w14:paraId="253640EB">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两国法律专业人士的合作与发展：建立与越南同行的长期合作关系，共同探索国际法律服务的新模式。</w:t>
            </w:r>
          </w:p>
          <w:p w14:paraId="1E548E74">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发展机遇：深入探讨越南市场的特点，投资中常见的陷阱与风险，预计哪些更适合越南的产业与商业机遇。</w:t>
            </w:r>
          </w:p>
          <w:p w14:paraId="507548C0">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专业技能：越南法律与金融的运用与规则，如何搭设法律机构规避其中的风险。</w:t>
            </w:r>
          </w:p>
          <w:p w14:paraId="3AA9C2E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10、律师出海的方法论，以及15种不同的商业模式的拆解与实战经验分享。</w:t>
            </w:r>
          </w:p>
          <w:p w14:paraId="69642FC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center"/>
              <w:rPr>
                <w:rFonts w:hint="eastAsia" w:ascii="苹方" w:hAnsi="苹方" w:eastAsia="苹方" w:cs="苹方"/>
                <w:i w:val="0"/>
                <w:iCs w:val="0"/>
                <w:color w:val="auto"/>
                <w:kern w:val="0"/>
                <w:sz w:val="24"/>
                <w:szCs w:val="24"/>
                <w:u w:val="none"/>
                <w:lang w:val="en-US" w:eastAsia="zh-CN" w:bidi="ar"/>
              </w:rPr>
            </w:pPr>
          </w:p>
          <w:p w14:paraId="5602D02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b/>
                <w:bCs/>
                <w:i w:val="0"/>
                <w:iCs w:val="0"/>
                <w:color w:val="auto"/>
                <w:kern w:val="0"/>
                <w:sz w:val="24"/>
                <w:szCs w:val="24"/>
                <w:u w:val="single"/>
                <w:lang w:val="en-US" w:eastAsia="zh-CN" w:bidi="ar"/>
              </w:rPr>
            </w:pPr>
            <w:r>
              <w:rPr>
                <w:rFonts w:hint="eastAsia" w:ascii="苹方" w:hAnsi="苹方" w:eastAsia="苹方" w:cs="苹方"/>
                <w:b/>
                <w:bCs/>
                <w:i w:val="0"/>
                <w:iCs w:val="0"/>
                <w:color w:val="auto"/>
                <w:kern w:val="0"/>
                <w:sz w:val="24"/>
                <w:szCs w:val="24"/>
                <w:u w:val="single"/>
                <w:lang w:val="en-US" w:eastAsia="zh-CN" w:bidi="ar"/>
              </w:rPr>
              <w:t>特邀嘉宾：</w:t>
            </w:r>
          </w:p>
          <w:p w14:paraId="7F598A0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b w:val="0"/>
                <w:bCs w:val="0"/>
                <w:i w:val="0"/>
                <w:iCs w:val="0"/>
                <w:color w:val="auto"/>
                <w:kern w:val="0"/>
                <w:sz w:val="24"/>
                <w:szCs w:val="24"/>
                <w:u w:val="none"/>
                <w:lang w:val="en-US" w:eastAsia="zh-CN" w:bidi="ar"/>
              </w:rPr>
            </w:pPr>
            <w:r>
              <w:rPr>
                <w:rFonts w:hint="eastAsia" w:ascii="苹方" w:hAnsi="苹方" w:eastAsia="苹方" w:cs="苹方"/>
                <w:i w:val="0"/>
                <w:iCs w:val="0"/>
                <w:color w:val="auto"/>
                <w:kern w:val="0"/>
                <w:sz w:val="24"/>
                <w:szCs w:val="24"/>
                <w:u w:val="none"/>
                <w:lang w:val="en-US" w:eastAsia="zh-CN" w:bidi="ar"/>
              </w:rPr>
              <w:t>行程中，我们将邀请来自不同行业领域的高层管理人员，包括</w:t>
            </w:r>
            <w:r>
              <w:rPr>
                <w:rFonts w:hint="eastAsia" w:ascii="苹方" w:hAnsi="苹方" w:eastAsia="苹方" w:cs="苹方"/>
                <w:b/>
                <w:bCs/>
                <w:i w:val="0"/>
                <w:iCs w:val="0"/>
                <w:color w:val="auto"/>
                <w:kern w:val="0"/>
                <w:sz w:val="24"/>
                <w:szCs w:val="24"/>
                <w:u w:val="none"/>
                <w:lang w:val="en-US" w:eastAsia="zh-CN" w:bidi="ar"/>
              </w:rPr>
              <w:t>越南当地头部律所合伙人、国际银行核心业务负责人、越南当地企业负责人、以及商业和经济领域的专家</w:t>
            </w:r>
            <w:r>
              <w:rPr>
                <w:rFonts w:hint="eastAsia" w:ascii="苹方" w:hAnsi="苹方" w:eastAsia="苹方" w:cs="苹方"/>
                <w:b w:val="0"/>
                <w:bCs w:val="0"/>
                <w:i w:val="0"/>
                <w:iCs w:val="0"/>
                <w:color w:val="auto"/>
                <w:kern w:val="0"/>
                <w:sz w:val="24"/>
                <w:szCs w:val="24"/>
                <w:u w:val="none"/>
                <w:lang w:val="en-US" w:eastAsia="zh-CN" w:bidi="ar"/>
              </w:rPr>
              <w:t>进行小范围交流。相关对话将以闭门座谈、现场沟通和随行讨论的形式展开，重点围绕外资企业在越南落地过程中的法律、合规、金融和实际经营问题做深度分享。</w:t>
            </w:r>
          </w:p>
          <w:p w14:paraId="001484C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p>
          <w:tbl>
            <w:tblPr>
              <w:tblStyle w:val="4"/>
              <w:tblpPr w:leftFromText="180" w:rightFromText="180" w:vertAnchor="text" w:horzAnchor="page" w:tblpX="39" w:tblpY="55"/>
              <w:tblOverlap w:val="never"/>
              <w:tblW w:w="102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3"/>
              <w:gridCol w:w="8627"/>
              <w:gridCol w:w="112"/>
              <w:gridCol w:w="124"/>
            </w:tblGrid>
            <w:tr w14:paraId="34839387">
              <w:trPr>
                <w:gridAfter w:val="1"/>
                <w:wAfter w:w="124" w:type="dxa"/>
                <w:trHeight w:val="520" w:hRule="atLeast"/>
              </w:trPr>
              <w:tc>
                <w:tcPr>
                  <w:tcW w:w="10092" w:type="dxa"/>
                  <w:gridSpan w:val="3"/>
                  <w:tcBorders>
                    <w:top w:val="nil"/>
                    <w:left w:val="nil"/>
                    <w:bottom w:val="nil"/>
                    <w:right w:val="nil"/>
                  </w:tcBorders>
                  <w:shd w:val="clear" w:color="auto" w:fill="B4C6E7"/>
                  <w:noWrap/>
                  <w:vAlign w:val="center"/>
                </w:tcPr>
                <w:p w14:paraId="2F34D74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auto"/>
                      <w:kern w:val="0"/>
                      <w:sz w:val="24"/>
                      <w:szCs w:val="24"/>
                      <w:u w:val="none"/>
                      <w:lang w:val="en-US" w:eastAsia="zh-CN" w:bidi="ar"/>
                    </w:rPr>
                  </w:pPr>
                  <w:r>
                    <w:rPr>
                      <w:rFonts w:hint="eastAsia" w:ascii="苹方" w:hAnsi="苹方" w:eastAsia="苹方" w:cs="苹方"/>
                      <w:b/>
                      <w:bCs/>
                      <w:i w:val="0"/>
                      <w:iCs w:val="0"/>
                      <w:color w:val="auto"/>
                      <w:kern w:val="0"/>
                      <w:sz w:val="24"/>
                      <w:szCs w:val="24"/>
                      <w:u w:val="none"/>
                      <w:lang w:val="en-US" w:eastAsia="zh-CN" w:bidi="ar"/>
                    </w:rPr>
                    <w:t>行程安排</w:t>
                  </w:r>
                </w:p>
              </w:tc>
            </w:tr>
            <w:tr w14:paraId="3FF7F5E3">
              <w:trPr>
                <w:trHeight w:val="340" w:hRule="atLeast"/>
              </w:trPr>
              <w:tc>
                <w:tcPr>
                  <w:tcW w:w="1353" w:type="dxa"/>
                  <w:tcBorders>
                    <w:top w:val="nil"/>
                    <w:left w:val="nil"/>
                    <w:bottom w:val="nil"/>
                    <w:right w:val="nil"/>
                  </w:tcBorders>
                  <w:shd w:val="clear" w:color="auto" w:fill="auto"/>
                  <w:noWrap/>
                  <w:vAlign w:val="center"/>
                </w:tcPr>
                <w:p w14:paraId="48A44E24">
                  <w:pPr>
                    <w:spacing w:line="360" w:lineRule="auto"/>
                    <w:rPr>
                      <w:rFonts w:hint="eastAsia" w:ascii="苹方" w:hAnsi="苹方" w:eastAsia="苹方" w:cs="苹方"/>
                      <w:i w:val="0"/>
                      <w:iCs w:val="0"/>
                      <w:color w:val="000000"/>
                      <w:sz w:val="24"/>
                      <w:szCs w:val="24"/>
                      <w:u w:val="none"/>
                    </w:rPr>
                  </w:pPr>
                </w:p>
              </w:tc>
              <w:tc>
                <w:tcPr>
                  <w:tcW w:w="8627" w:type="dxa"/>
                  <w:tcBorders>
                    <w:top w:val="nil"/>
                    <w:left w:val="nil"/>
                    <w:bottom w:val="nil"/>
                    <w:right w:val="nil"/>
                  </w:tcBorders>
                  <w:shd w:val="clear" w:color="auto" w:fill="auto"/>
                  <w:noWrap/>
                  <w:vAlign w:val="center"/>
                </w:tcPr>
                <w:p w14:paraId="43B0E8D6">
                  <w:pPr>
                    <w:keepNext w:val="0"/>
                    <w:keepLines w:val="0"/>
                    <w:pageBreakBefore w:val="0"/>
                    <w:widowControl/>
                    <w:suppressLineNumbers w:val="0"/>
                    <w:kinsoku/>
                    <w:wordWrap/>
                    <w:overflowPunct/>
                    <w:topLinePunct w:val="0"/>
                    <w:autoSpaceDE/>
                    <w:autoSpaceDN/>
                    <w:bidi w:val="0"/>
                    <w:adjustRightInd/>
                    <w:snapToGrid/>
                    <w:spacing w:line="360" w:lineRule="auto"/>
                    <w:ind w:firstLine="1050" w:firstLineChars="500"/>
                    <w:jc w:val="both"/>
                    <w:textAlignment w:val="center"/>
                    <w:rPr>
                      <w:rFonts w:hint="eastAsia" w:ascii="苹方" w:hAnsi="苹方" w:eastAsia="苹方" w:cs="苹方"/>
                      <w:i w:val="0"/>
                      <w:iCs w:val="0"/>
                      <w:color w:val="000000"/>
                      <w:kern w:val="0"/>
                      <w:sz w:val="24"/>
                      <w:szCs w:val="24"/>
                      <w:u w:val="none"/>
                      <w:lang w:val="en-US" w:eastAsia="zh-CN" w:bidi="ar"/>
                    </w:rPr>
                  </w:pPr>
                  <w:r>
                    <w:rPr>
                      <w:rFonts w:hint="eastAsia" w:ascii="苹方" w:hAnsi="苹方" w:eastAsia="苹方" w:cs="苹方"/>
                      <w:i w:val="0"/>
                      <w:iCs w:val="0"/>
                      <w:color w:val="000000"/>
                      <w:kern w:val="0"/>
                      <w:sz w:val="21"/>
                      <w:szCs w:val="21"/>
                      <w:u w:val="none"/>
                      <w:lang w:val="en-US" w:eastAsia="zh-CN" w:bidi="ar"/>
                    </w:rPr>
                    <w:t>2026年2月25日 -  2月28 日 | 越南·胡志明市（4天3晚）</w:t>
                  </w:r>
                </w:p>
              </w:tc>
              <w:tc>
                <w:tcPr>
                  <w:tcW w:w="236" w:type="dxa"/>
                  <w:gridSpan w:val="2"/>
                  <w:tcBorders>
                    <w:top w:val="nil"/>
                    <w:left w:val="nil"/>
                    <w:bottom w:val="nil"/>
                    <w:right w:val="nil"/>
                  </w:tcBorders>
                  <w:shd w:val="clear" w:color="auto" w:fill="auto"/>
                  <w:noWrap/>
                  <w:vAlign w:val="center"/>
                </w:tcPr>
                <w:p w14:paraId="37FD5C89">
                  <w:pPr>
                    <w:spacing w:line="360" w:lineRule="auto"/>
                    <w:rPr>
                      <w:rFonts w:hint="eastAsia" w:ascii="苹方" w:hAnsi="苹方" w:eastAsia="苹方" w:cs="苹方"/>
                      <w:i w:val="0"/>
                      <w:iCs w:val="0"/>
                      <w:color w:val="000000"/>
                      <w:sz w:val="24"/>
                      <w:szCs w:val="24"/>
                      <w:u w:val="none"/>
                    </w:rPr>
                  </w:pPr>
                </w:p>
              </w:tc>
            </w:tr>
            <w:tr w14:paraId="365C6521">
              <w:trPr>
                <w:gridAfter w:val="2"/>
                <w:wAfter w:w="236" w:type="dxa"/>
                <w:trHeight w:val="352" w:hRule="atLeast"/>
              </w:trPr>
              <w:tc>
                <w:tcPr>
                  <w:tcW w:w="1353" w:type="dxa"/>
                  <w:tcBorders>
                    <w:top w:val="nil"/>
                    <w:left w:val="nil"/>
                    <w:bottom w:val="nil"/>
                    <w:right w:val="nil"/>
                  </w:tcBorders>
                  <w:shd w:val="clear" w:color="auto" w:fill="B4C6E7"/>
                  <w:noWrap/>
                  <w:vAlign w:val="center"/>
                </w:tcPr>
                <w:p w14:paraId="73F523E2">
                  <w:pPr>
                    <w:keepNext w:val="0"/>
                    <w:keepLines w:val="0"/>
                    <w:widowControl/>
                    <w:suppressLineNumbers w:val="0"/>
                    <w:spacing w:line="360" w:lineRule="auto"/>
                    <w:jc w:val="center"/>
                    <w:textAlignment w:val="center"/>
                    <w:rPr>
                      <w:rFonts w:hint="eastAsia" w:ascii="苹方" w:hAnsi="苹方" w:eastAsia="苹方" w:cs="苹方"/>
                      <w:b/>
                      <w:bCs/>
                      <w:i w:val="0"/>
                      <w:iCs w:val="0"/>
                      <w:color w:val="000000"/>
                      <w:sz w:val="24"/>
                      <w:szCs w:val="24"/>
                      <w:u w:val="none"/>
                    </w:rPr>
                  </w:pPr>
                  <w:r>
                    <w:rPr>
                      <w:rFonts w:hint="eastAsia" w:ascii="苹方" w:hAnsi="苹方" w:eastAsia="苹方" w:cs="苹方"/>
                      <w:b/>
                      <w:bCs/>
                      <w:i w:val="0"/>
                      <w:iCs w:val="0"/>
                      <w:color w:val="000000"/>
                      <w:kern w:val="0"/>
                      <w:sz w:val="24"/>
                      <w:szCs w:val="24"/>
                      <w:u w:val="none"/>
                      <w:lang w:val="en-US" w:eastAsia="zh-CN" w:bidi="ar"/>
                    </w:rPr>
                    <w:t>时间</w:t>
                  </w:r>
                </w:p>
              </w:tc>
              <w:tc>
                <w:tcPr>
                  <w:tcW w:w="8627" w:type="dxa"/>
                  <w:tcBorders>
                    <w:top w:val="nil"/>
                    <w:left w:val="nil"/>
                    <w:bottom w:val="nil"/>
                    <w:right w:val="nil"/>
                  </w:tcBorders>
                  <w:shd w:val="clear" w:color="auto" w:fill="B4C6E7"/>
                  <w:noWrap/>
                  <w:vAlign w:val="center"/>
                </w:tcPr>
                <w:p w14:paraId="36EE5E4A">
                  <w:pPr>
                    <w:keepNext w:val="0"/>
                    <w:keepLines w:val="0"/>
                    <w:widowControl/>
                    <w:suppressLineNumbers w:val="0"/>
                    <w:spacing w:line="360" w:lineRule="auto"/>
                    <w:jc w:val="center"/>
                    <w:textAlignment w:val="center"/>
                    <w:rPr>
                      <w:rFonts w:hint="eastAsia" w:ascii="苹方" w:hAnsi="苹方" w:eastAsia="苹方" w:cs="苹方"/>
                      <w:b/>
                      <w:bCs/>
                      <w:i w:val="0"/>
                      <w:iCs w:val="0"/>
                      <w:color w:val="000000"/>
                      <w:sz w:val="24"/>
                      <w:szCs w:val="24"/>
                      <w:u w:val="none"/>
                    </w:rPr>
                  </w:pPr>
                  <w:r>
                    <w:rPr>
                      <w:rFonts w:hint="eastAsia" w:ascii="苹方" w:hAnsi="苹方" w:eastAsia="苹方" w:cs="苹方"/>
                      <w:b/>
                      <w:bCs/>
                      <w:i w:val="0"/>
                      <w:iCs w:val="0"/>
                      <w:color w:val="000000"/>
                      <w:kern w:val="0"/>
                      <w:sz w:val="24"/>
                      <w:szCs w:val="24"/>
                      <w:u w:val="none"/>
                      <w:lang w:val="en-US" w:eastAsia="zh-CN" w:bidi="ar"/>
                    </w:rPr>
                    <w:t>日程</w:t>
                  </w:r>
                </w:p>
              </w:tc>
            </w:tr>
            <w:tr w14:paraId="26127179">
              <w:trPr>
                <w:gridAfter w:val="2"/>
                <w:wAfter w:w="236" w:type="dxa"/>
                <w:trHeight w:val="1680" w:hRule="atLeast"/>
              </w:trPr>
              <w:tc>
                <w:tcPr>
                  <w:tcW w:w="1353" w:type="dxa"/>
                  <w:tcBorders>
                    <w:top w:val="nil"/>
                    <w:left w:val="nil"/>
                    <w:bottom w:val="single" w:color="000000" w:sz="4" w:space="0"/>
                    <w:right w:val="single" w:color="000000" w:sz="4" w:space="0"/>
                  </w:tcBorders>
                  <w:shd w:val="clear" w:color="auto" w:fill="auto"/>
                  <w:vAlign w:val="center"/>
                </w:tcPr>
                <w:p w14:paraId="6F94EAE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sz w:val="24"/>
                      <w:szCs w:val="24"/>
                      <w:u w:val="none"/>
                      <w:lang w:val="en-US"/>
                    </w:rPr>
                  </w:pPr>
                  <w:r>
                    <w:rPr>
                      <w:rFonts w:hint="eastAsia" w:ascii="苹方" w:hAnsi="苹方" w:eastAsia="苹方" w:cs="苹方"/>
                      <w:i w:val="0"/>
                      <w:iCs w:val="0"/>
                      <w:color w:val="000000"/>
                      <w:kern w:val="0"/>
                      <w:sz w:val="24"/>
                      <w:szCs w:val="24"/>
                      <w:u w:val="none"/>
                      <w:lang w:val="en-US" w:eastAsia="zh-CN" w:bidi="ar"/>
                    </w:rPr>
                    <w:t>2月25日</w:t>
                  </w:r>
                  <w:r>
                    <w:rPr>
                      <w:rFonts w:hint="eastAsia" w:ascii="苹方" w:hAnsi="苹方" w:eastAsia="苹方" w:cs="苹方"/>
                      <w:i w:val="0"/>
                      <w:iCs w:val="0"/>
                      <w:color w:val="000000"/>
                      <w:kern w:val="0"/>
                      <w:sz w:val="24"/>
                      <w:szCs w:val="24"/>
                      <w:u w:val="none"/>
                      <w:lang w:val="en-US" w:eastAsia="zh-CN" w:bidi="ar"/>
                    </w:rPr>
                    <w:br w:type="textWrapping"/>
                  </w:r>
                  <w:r>
                    <w:rPr>
                      <w:rFonts w:hint="eastAsia" w:ascii="苹方" w:hAnsi="苹方" w:eastAsia="苹方" w:cs="苹方"/>
                      <w:i w:val="0"/>
                      <w:iCs w:val="0"/>
                      <w:color w:val="000000"/>
                      <w:kern w:val="0"/>
                      <w:sz w:val="24"/>
                      <w:szCs w:val="24"/>
                      <w:u w:val="none"/>
                      <w:lang w:val="en-US" w:eastAsia="zh-CN" w:bidi="ar"/>
                    </w:rPr>
                    <w:t>星期三</w:t>
                  </w:r>
                  <w:r>
                    <w:rPr>
                      <w:rFonts w:hint="eastAsia" w:ascii="苹方" w:hAnsi="苹方" w:eastAsia="苹方" w:cs="苹方"/>
                      <w:i w:val="0"/>
                      <w:iCs w:val="0"/>
                      <w:color w:val="000000"/>
                      <w:kern w:val="0"/>
                      <w:sz w:val="24"/>
                      <w:szCs w:val="24"/>
                      <w:u w:val="none"/>
                      <w:lang w:val="en-US" w:eastAsia="zh-CN" w:bidi="ar"/>
                    </w:rPr>
                    <w:br w:type="textWrapping"/>
                  </w:r>
                  <w:r>
                    <w:rPr>
                      <w:rFonts w:hint="eastAsia" w:ascii="苹方" w:hAnsi="苹方" w:eastAsia="苹方" w:cs="苹方"/>
                      <w:i w:val="0"/>
                      <w:iCs w:val="0"/>
                      <w:color w:val="000000"/>
                      <w:kern w:val="0"/>
                      <w:sz w:val="24"/>
                      <w:szCs w:val="24"/>
                      <w:u w:val="none"/>
                      <w:lang w:val="en-US" w:eastAsia="zh-CN" w:bidi="ar"/>
                    </w:rPr>
                    <w:t>Day 1</w:t>
                  </w:r>
                </w:p>
              </w:tc>
              <w:tc>
                <w:tcPr>
                  <w:tcW w:w="8627" w:type="dxa"/>
                  <w:tcBorders>
                    <w:top w:val="nil"/>
                    <w:left w:val="nil"/>
                    <w:bottom w:val="single" w:color="000000" w:sz="4" w:space="0"/>
                    <w:right w:val="nil"/>
                  </w:tcBorders>
                  <w:shd w:val="clear" w:color="auto" w:fill="auto"/>
                  <w:vAlign w:val="center"/>
                </w:tcPr>
                <w:p w14:paraId="7D2F1AE5">
                  <w:pPr>
                    <w:pStyle w:val="7"/>
                    <w:spacing w:before="327" w:line="360" w:lineRule="auto"/>
                    <w:jc w:val="both"/>
                    <w:rPr>
                      <w:rFonts w:hint="eastAsia" w:ascii="苹方" w:hAnsi="苹方" w:eastAsia="苹方" w:cs="苹方"/>
                      <w:b w:val="0"/>
                      <w:bCs w:val="0"/>
                      <w:sz w:val="24"/>
                      <w:szCs w:val="24"/>
                    </w:rPr>
                  </w:pPr>
                  <w:r>
                    <w:rPr>
                      <w:rFonts w:hint="eastAsia" w:ascii="苹方" w:hAnsi="苹方" w:eastAsia="苹方" w:cs="苹方"/>
                      <w:b w:val="0"/>
                      <w:bCs w:val="0"/>
                      <w:spacing w:val="-1"/>
                      <w:sz w:val="24"/>
                      <w:szCs w:val="24"/>
                    </w:rPr>
                    <w:t>各地抵达胡志明市，酒店集合</w:t>
                  </w:r>
                </w:p>
                <w:p w14:paraId="145260BE">
                  <w:pPr>
                    <w:pStyle w:val="7"/>
                    <w:spacing w:line="360" w:lineRule="auto"/>
                    <w:jc w:val="both"/>
                    <w:rPr>
                      <w:rFonts w:hint="eastAsia" w:ascii="苹方" w:hAnsi="苹方" w:eastAsia="苹方" w:cs="苹方"/>
                      <w:b w:val="0"/>
                      <w:bCs w:val="0"/>
                      <w:sz w:val="24"/>
                      <w:szCs w:val="24"/>
                    </w:rPr>
                  </w:pPr>
                  <w:r>
                    <w:rPr>
                      <w:rFonts w:hint="eastAsia" w:ascii="苹方" w:hAnsi="苹方" w:eastAsia="苹方" w:cs="苹方"/>
                      <w:b w:val="0"/>
                      <w:bCs w:val="0"/>
                      <w:spacing w:val="-1"/>
                      <w:sz w:val="24"/>
                      <w:szCs w:val="24"/>
                    </w:rPr>
                    <w:t>破冰活动，及欢迎晚宴</w:t>
                  </w:r>
                </w:p>
                <w:p w14:paraId="101644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rPr>
                  </w:pPr>
                  <w:r>
                    <w:rPr>
                      <w:rFonts w:hint="eastAsia" w:ascii="苹方" w:hAnsi="苹方" w:eastAsia="苹方" w:cs="苹方"/>
                      <w:spacing w:val="-1"/>
                      <w:sz w:val="24"/>
                      <w:szCs w:val="24"/>
                    </w:rPr>
                    <w:t>新老朋友见面交流会，增进相互了解，</w:t>
                  </w:r>
                  <w:r>
                    <w:rPr>
                      <w:rFonts w:hint="eastAsia" w:ascii="苹方" w:hAnsi="苹方" w:eastAsia="苹方" w:cs="苹方"/>
                      <w:spacing w:val="-1"/>
                      <w:sz w:val="24"/>
                      <w:szCs w:val="24"/>
                      <w:lang w:val="en-US" w:eastAsia="zh-CN"/>
                    </w:rPr>
                    <w:t>为未来几天的深入交流和合作奠定基础。</w:t>
                  </w:r>
                </w:p>
              </w:tc>
            </w:tr>
            <w:tr w14:paraId="5FBD0304">
              <w:trPr>
                <w:gridAfter w:val="2"/>
                <w:wAfter w:w="236" w:type="dxa"/>
                <w:trHeight w:val="90" w:hRule="atLeast"/>
              </w:trPr>
              <w:tc>
                <w:tcPr>
                  <w:tcW w:w="1353" w:type="dxa"/>
                  <w:tcBorders>
                    <w:top w:val="nil"/>
                    <w:left w:val="nil"/>
                    <w:bottom w:val="single" w:color="000000" w:sz="4" w:space="0"/>
                    <w:right w:val="single" w:color="000000" w:sz="4" w:space="0"/>
                  </w:tcBorders>
                  <w:shd w:val="clear" w:color="auto" w:fill="auto"/>
                  <w:vAlign w:val="center"/>
                </w:tcPr>
                <w:p w14:paraId="544D0917">
                  <w:pPr>
                    <w:keepNext w:val="0"/>
                    <w:keepLines w:val="0"/>
                    <w:pageBreakBefore w:val="0"/>
                    <w:widowControl/>
                    <w:suppressLineNumbers w:val="0"/>
                    <w:kinsoku/>
                    <w:wordWrap/>
                    <w:overflowPunct/>
                    <w:topLinePunct w:val="0"/>
                    <w:autoSpaceDE/>
                    <w:autoSpaceDN/>
                    <w:bidi w:val="0"/>
                    <w:adjustRightInd/>
                    <w:snapToGrid/>
                    <w:spacing w:line="360" w:lineRule="auto"/>
                    <w:ind w:left="240" w:hanging="240" w:hangingChars="100"/>
                    <w:jc w:val="both"/>
                    <w:textAlignment w:val="center"/>
                    <w:rPr>
                      <w:rFonts w:hint="eastAsia" w:ascii="苹方" w:hAnsi="苹方" w:eastAsia="苹方" w:cs="苹方"/>
                      <w:i w:val="0"/>
                      <w:iCs w:val="0"/>
                      <w:color w:val="000000"/>
                      <w:kern w:val="0"/>
                      <w:sz w:val="24"/>
                      <w:szCs w:val="24"/>
                      <w:u w:val="none"/>
                      <w:lang w:val="en-US" w:eastAsia="zh-CN" w:bidi="ar"/>
                    </w:rPr>
                  </w:pPr>
                  <w:r>
                    <w:rPr>
                      <w:rFonts w:hint="eastAsia" w:ascii="苹方" w:hAnsi="苹方" w:eastAsia="苹方" w:cs="苹方"/>
                      <w:i w:val="0"/>
                      <w:iCs w:val="0"/>
                      <w:color w:val="000000"/>
                      <w:kern w:val="0"/>
                      <w:sz w:val="24"/>
                      <w:szCs w:val="24"/>
                      <w:u w:val="none"/>
                      <w:lang w:val="en-US" w:eastAsia="zh-CN" w:bidi="ar"/>
                    </w:rPr>
                    <w:t>2月26日</w:t>
                  </w:r>
                  <w:r>
                    <w:rPr>
                      <w:rFonts w:hint="eastAsia" w:ascii="苹方" w:hAnsi="苹方" w:eastAsia="苹方" w:cs="苹方"/>
                      <w:i w:val="0"/>
                      <w:iCs w:val="0"/>
                      <w:color w:val="000000"/>
                      <w:kern w:val="0"/>
                      <w:sz w:val="24"/>
                      <w:szCs w:val="24"/>
                      <w:u w:val="none"/>
                      <w:lang w:val="en-US" w:eastAsia="zh-CN" w:bidi="ar"/>
                    </w:rPr>
                    <w:br w:type="textWrapping"/>
                  </w:r>
                  <w:r>
                    <w:rPr>
                      <w:rFonts w:hint="eastAsia" w:ascii="苹方" w:hAnsi="苹方" w:eastAsia="苹方" w:cs="苹方"/>
                      <w:i w:val="0"/>
                      <w:iCs w:val="0"/>
                      <w:color w:val="000000"/>
                      <w:kern w:val="0"/>
                      <w:sz w:val="24"/>
                      <w:szCs w:val="24"/>
                      <w:u w:val="none"/>
                      <w:lang w:val="en-US" w:eastAsia="zh-CN" w:bidi="ar"/>
                    </w:rPr>
                    <w:t xml:space="preserve">星期四Day 2 </w:t>
                  </w:r>
                </w:p>
                <w:p w14:paraId="0F1107D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kern w:val="0"/>
                      <w:sz w:val="24"/>
                      <w:szCs w:val="24"/>
                      <w:u w:val="none"/>
                      <w:lang w:val="en-US" w:eastAsia="zh-CN" w:bidi="ar"/>
                    </w:rPr>
                  </w:pPr>
                </w:p>
                <w:p w14:paraId="65067D6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kern w:val="0"/>
                      <w:sz w:val="24"/>
                      <w:szCs w:val="24"/>
                      <w:u w:val="none"/>
                      <w:lang w:val="en-US" w:eastAsia="zh-CN" w:bidi="ar"/>
                    </w:rPr>
                  </w:pPr>
                </w:p>
                <w:p w14:paraId="7567153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kern w:val="0"/>
                      <w:sz w:val="24"/>
                      <w:szCs w:val="24"/>
                      <w:u w:val="none"/>
                      <w:lang w:val="en-US" w:eastAsia="zh-CN" w:bidi="ar"/>
                    </w:rPr>
                  </w:pPr>
                </w:p>
                <w:p w14:paraId="131AB07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kern w:val="0"/>
                      <w:sz w:val="24"/>
                      <w:szCs w:val="24"/>
                      <w:u w:val="none"/>
                      <w:lang w:val="en-US" w:eastAsia="zh-CN" w:bidi="ar"/>
                    </w:rPr>
                  </w:pPr>
                </w:p>
                <w:p w14:paraId="2C22A86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kern w:val="0"/>
                      <w:sz w:val="24"/>
                      <w:szCs w:val="24"/>
                      <w:u w:val="none"/>
                      <w:lang w:val="en-US" w:eastAsia="zh-CN" w:bidi="ar"/>
                    </w:rPr>
                  </w:pPr>
                </w:p>
                <w:p w14:paraId="07E89BA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kern w:val="0"/>
                      <w:sz w:val="24"/>
                      <w:szCs w:val="24"/>
                      <w:u w:val="none"/>
                      <w:lang w:val="en-US" w:eastAsia="zh-CN" w:bidi="ar"/>
                    </w:rPr>
                  </w:pPr>
                </w:p>
                <w:p w14:paraId="6C6D058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kern w:val="0"/>
                      <w:sz w:val="24"/>
                      <w:szCs w:val="24"/>
                      <w:u w:val="none"/>
                      <w:lang w:val="en-US" w:eastAsia="zh-CN" w:bidi="ar"/>
                    </w:rPr>
                  </w:pPr>
                </w:p>
                <w:p w14:paraId="4DBEECA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kern w:val="0"/>
                      <w:sz w:val="24"/>
                      <w:szCs w:val="24"/>
                      <w:u w:val="none"/>
                      <w:lang w:val="en-US" w:eastAsia="zh-CN" w:bidi="ar"/>
                    </w:rPr>
                  </w:pPr>
                </w:p>
                <w:p w14:paraId="70CC493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kern w:val="0"/>
                      <w:sz w:val="24"/>
                      <w:szCs w:val="24"/>
                      <w:u w:val="none"/>
                      <w:lang w:val="en-US" w:eastAsia="zh-CN" w:bidi="ar"/>
                    </w:rPr>
                  </w:pPr>
                </w:p>
                <w:p w14:paraId="031F579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kern w:val="0"/>
                      <w:sz w:val="24"/>
                      <w:szCs w:val="24"/>
                      <w:u w:val="none"/>
                      <w:lang w:val="en-US" w:eastAsia="zh-CN" w:bidi="ar"/>
                    </w:rPr>
                  </w:pPr>
                  <w:r>
                    <w:rPr>
                      <w:rFonts w:hint="eastAsia" w:ascii="苹方" w:hAnsi="苹方" w:eastAsia="苹方" w:cs="苹方"/>
                      <w:i w:val="0"/>
                      <w:iCs w:val="0"/>
                      <w:color w:val="000000"/>
                      <w:kern w:val="0"/>
                      <w:sz w:val="24"/>
                      <w:szCs w:val="24"/>
                      <w:u w:val="none"/>
                      <w:lang w:val="en-US" w:eastAsia="zh-CN" w:bidi="ar"/>
                    </w:rPr>
                    <w:t>8月28日</w:t>
                  </w:r>
                  <w:r>
                    <w:rPr>
                      <w:rFonts w:hint="eastAsia" w:ascii="苹方" w:hAnsi="苹方" w:eastAsia="苹方" w:cs="苹方"/>
                      <w:i w:val="0"/>
                      <w:iCs w:val="0"/>
                      <w:color w:val="000000"/>
                      <w:kern w:val="0"/>
                      <w:sz w:val="24"/>
                      <w:szCs w:val="24"/>
                      <w:u w:val="none"/>
                      <w:lang w:val="en-US" w:eastAsia="zh-CN" w:bidi="ar"/>
                    </w:rPr>
                    <w:br w:type="textWrapping"/>
                  </w:r>
                  <w:r>
                    <w:rPr>
                      <w:rFonts w:hint="eastAsia" w:ascii="苹方" w:hAnsi="苹方" w:eastAsia="苹方" w:cs="苹方"/>
                      <w:i w:val="0"/>
                      <w:iCs w:val="0"/>
                      <w:color w:val="000000"/>
                      <w:kern w:val="0"/>
                      <w:sz w:val="24"/>
                      <w:szCs w:val="24"/>
                      <w:u w:val="none"/>
                      <w:lang w:val="en-US" w:eastAsia="zh-CN" w:bidi="ar"/>
                    </w:rPr>
                    <w:t>星期四</w:t>
                  </w:r>
                </w:p>
                <w:p w14:paraId="5955633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sz w:val="24"/>
                      <w:szCs w:val="24"/>
                      <w:u w:val="none"/>
                    </w:rPr>
                  </w:pPr>
                  <w:r>
                    <w:rPr>
                      <w:rFonts w:hint="eastAsia" w:ascii="苹方" w:hAnsi="苹方" w:eastAsia="苹方" w:cs="苹方"/>
                      <w:i w:val="0"/>
                      <w:iCs w:val="0"/>
                      <w:color w:val="000000"/>
                      <w:kern w:val="0"/>
                      <w:sz w:val="24"/>
                      <w:szCs w:val="24"/>
                      <w:u w:val="none"/>
                      <w:lang w:val="en-US" w:eastAsia="zh-CN" w:bidi="ar"/>
                    </w:rPr>
                    <w:t xml:space="preserve">Day 2 </w:t>
                  </w:r>
                  <w:r>
                    <w:rPr>
                      <w:rFonts w:hint="eastAsia" w:ascii="苹方" w:hAnsi="苹方" w:eastAsia="苹方" w:cs="苹方"/>
                      <w:i w:val="0"/>
                      <w:iCs w:val="0"/>
                      <w:color w:val="000000"/>
                      <w:kern w:val="0"/>
                      <w:sz w:val="24"/>
                      <w:szCs w:val="24"/>
                      <w:u w:val="none"/>
                      <w:lang w:val="en-US" w:eastAsia="zh-CN" w:bidi="ar"/>
                    </w:rPr>
                    <w:br w:type="textWrapping"/>
                  </w:r>
                </w:p>
              </w:tc>
              <w:tc>
                <w:tcPr>
                  <w:tcW w:w="8627" w:type="dxa"/>
                  <w:tcBorders>
                    <w:top w:val="nil"/>
                    <w:left w:val="nil"/>
                    <w:bottom w:val="single" w:color="000000" w:sz="4" w:space="0"/>
                    <w:right w:val="nil"/>
                  </w:tcBorders>
                  <w:shd w:val="clear" w:color="auto" w:fill="auto"/>
                  <w:vAlign w:val="center"/>
                </w:tcPr>
                <w:p w14:paraId="3099EB0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b w:val="0"/>
                      <w:bCs w:val="0"/>
                      <w:i w:val="0"/>
                      <w:iCs w:val="0"/>
                      <w:color w:val="000000"/>
                      <w:sz w:val="24"/>
                      <w:szCs w:val="24"/>
                      <w:u w:val="none"/>
                      <w:lang w:val="en-US" w:eastAsia="zh-CN"/>
                    </w:rPr>
                  </w:pPr>
                  <w:r>
                    <w:rPr>
                      <w:rFonts w:hint="eastAsia" w:ascii="苹方" w:hAnsi="苹方" w:eastAsia="苹方" w:cs="苹方"/>
                      <w:b/>
                      <w:bCs/>
                      <w:i w:val="0"/>
                      <w:iCs w:val="0"/>
                      <w:color w:val="000000"/>
                      <w:sz w:val="24"/>
                      <w:szCs w:val="24"/>
                      <w:u w:val="single"/>
                      <w:lang w:val="en-US" w:eastAsia="zh-CN"/>
                    </w:rPr>
                    <w:t>越南头部综合性律所座谈交流（VILAF）</w:t>
                  </w:r>
                  <w:r>
                    <w:rPr>
                      <w:rFonts w:hint="eastAsia" w:ascii="苹方" w:hAnsi="苹方" w:eastAsia="苹方" w:cs="苹方"/>
                      <w:b/>
                      <w:bCs/>
                      <w:i w:val="0"/>
                      <w:iCs w:val="0"/>
                      <w:color w:val="000000"/>
                      <w:sz w:val="24"/>
                      <w:szCs w:val="24"/>
                      <w:u w:val="single"/>
                      <w:lang w:val="en-US" w:eastAsia="zh-CN"/>
                    </w:rPr>
                    <w:br w:type="textWrapping"/>
                  </w:r>
                  <w:r>
                    <w:rPr>
                      <w:rFonts w:hint="eastAsia" w:ascii="苹方" w:hAnsi="苹方" w:eastAsia="苹方" w:cs="苹方"/>
                      <w:b w:val="0"/>
                      <w:bCs w:val="0"/>
                      <w:i w:val="0"/>
                      <w:iCs w:val="0"/>
                      <w:color w:val="000000"/>
                      <w:sz w:val="24"/>
                      <w:szCs w:val="24"/>
                      <w:u w:val="none"/>
                      <w:lang w:val="en-US" w:eastAsia="zh-CN"/>
                    </w:rPr>
                    <w:t>VILAF 是越南最具国际化背景的本土律师事务所之一，长期为外资及中资企业提供投资、并购、公司合规与争议解决等全流程法律服务。</w:t>
                  </w:r>
                  <w:r>
                    <w:rPr>
                      <w:rFonts w:hint="eastAsia" w:ascii="苹方" w:hAnsi="苹方" w:eastAsia="苹方" w:cs="苹方"/>
                      <w:b w:val="0"/>
                      <w:bCs w:val="0"/>
                      <w:i w:val="0"/>
                      <w:iCs w:val="0"/>
                      <w:color w:val="000000"/>
                      <w:sz w:val="24"/>
                      <w:szCs w:val="24"/>
                      <w:u w:val="none"/>
                      <w:lang w:val="en-US" w:eastAsia="zh-CN"/>
                    </w:rPr>
                    <w:br w:type="textWrapping"/>
                  </w:r>
                  <w:r>
                    <w:rPr>
                      <w:rFonts w:hint="eastAsia" w:ascii="苹方" w:hAnsi="苹方" w:eastAsia="苹方" w:cs="苹方"/>
                      <w:b w:val="0"/>
                      <w:bCs w:val="0"/>
                      <w:i w:val="0"/>
                      <w:iCs w:val="0"/>
                      <w:color w:val="000000"/>
                      <w:sz w:val="24"/>
                      <w:szCs w:val="24"/>
                      <w:u w:val="none"/>
                      <w:lang w:val="en-US" w:eastAsia="zh-CN"/>
                    </w:rPr>
                    <w:t>交流将重点围绕越南外资法律服务的实际运作结构、中资企业在越南投资与经营中最常见的法律误区，以及中国律师在与越南律所合作中的切入方式、角色边界与可行路径展开。</w:t>
                  </w:r>
                </w:p>
                <w:p w14:paraId="2C761DE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b w:val="0"/>
                      <w:bCs w:val="0"/>
                      <w:i w:val="0"/>
                      <w:iCs w:val="0"/>
                      <w:color w:val="000000"/>
                      <w:sz w:val="24"/>
                      <w:szCs w:val="24"/>
                      <w:u w:val="none"/>
                      <w:lang w:val="en-US" w:eastAsia="zh-CN"/>
                    </w:rPr>
                  </w:pPr>
                </w:p>
                <w:p w14:paraId="1245A4E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b/>
                      <w:bCs/>
                      <w:i w:val="0"/>
                      <w:iCs w:val="0"/>
                      <w:color w:val="000000"/>
                      <w:sz w:val="24"/>
                      <w:szCs w:val="24"/>
                      <w:u w:val="single"/>
                      <w:lang w:val="en-US" w:eastAsia="zh-CN"/>
                    </w:rPr>
                    <w:t>商务午餐交流｜与律所合伙人小范围午餐会</w:t>
                  </w:r>
                  <w:r>
                    <w:rPr>
                      <w:rFonts w:hint="eastAsia" w:ascii="苹方" w:hAnsi="苹方" w:eastAsia="苹方" w:cs="苹方"/>
                      <w:b/>
                      <w:bCs/>
                      <w:i w:val="0"/>
                      <w:iCs w:val="0"/>
                      <w:color w:val="000000"/>
                      <w:sz w:val="24"/>
                      <w:szCs w:val="24"/>
                      <w:u w:val="single"/>
                      <w:lang w:val="en-US" w:eastAsia="zh-CN"/>
                    </w:rPr>
                    <w:br w:type="textWrapping"/>
                  </w:r>
                  <w:r>
                    <w:rPr>
                      <w:rFonts w:hint="eastAsia" w:ascii="苹方" w:hAnsi="苹方" w:eastAsia="苹方" w:cs="苹方"/>
                      <w:b w:val="0"/>
                      <w:bCs w:val="0"/>
                      <w:i w:val="0"/>
                      <w:iCs w:val="0"/>
                      <w:color w:val="000000"/>
                      <w:sz w:val="24"/>
                      <w:szCs w:val="24"/>
                      <w:u w:val="none"/>
                      <w:lang w:val="en-US" w:eastAsia="zh-CN"/>
                    </w:rPr>
                    <w:t>午餐会的交流</w:t>
                  </w:r>
                  <w:r>
                    <w:rPr>
                      <w:rFonts w:hint="eastAsia" w:ascii="苹方" w:hAnsi="苹方" w:eastAsia="苹方" w:cs="苹方"/>
                      <w:i w:val="0"/>
                      <w:iCs w:val="0"/>
                      <w:color w:val="000000"/>
                      <w:sz w:val="24"/>
                      <w:szCs w:val="24"/>
                      <w:u w:val="none"/>
                      <w:lang w:val="en-US" w:eastAsia="zh-CN"/>
                    </w:rPr>
                    <w:t>话题通常会更聚焦于具体客户案例、合作中的现实摩擦点，以及在正式会议中较少公开讨论的判断逻辑与操作经验。通过这种更为松弛且高密度的交流方式，帮助参与者理解越南法律市场中“写在规则之外”的实际运作方式与合作边界。</w:t>
                  </w:r>
                </w:p>
                <w:p w14:paraId="074ABE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p>
                <w:p w14:paraId="02F9166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b/>
                      <w:bCs/>
                      <w:i w:val="0"/>
                      <w:iCs w:val="0"/>
                      <w:color w:val="000000"/>
                      <w:sz w:val="24"/>
                      <w:szCs w:val="24"/>
                      <w:u w:val="single"/>
                      <w:lang w:val="en-US" w:eastAsia="zh-CN"/>
                    </w:rPr>
                    <w:t>Standard Chartered座谈交流｜银行视角下的外资合规与资金路径</w:t>
                  </w:r>
                  <w:r>
                    <w:rPr>
                      <w:rFonts w:hint="eastAsia" w:ascii="苹方" w:hAnsi="苹方" w:eastAsia="苹方" w:cs="苹方"/>
                      <w:i w:val="0"/>
                      <w:iCs w:val="0"/>
                      <w:color w:val="000000"/>
                      <w:sz w:val="24"/>
                      <w:szCs w:val="24"/>
                      <w:u w:val="none"/>
                      <w:lang w:val="en-US" w:eastAsia="zh-CN"/>
                    </w:rPr>
                    <w:br w:type="textWrapping"/>
                  </w:r>
                  <w:r>
                    <w:rPr>
                      <w:rFonts w:hint="eastAsia" w:ascii="苹方" w:hAnsi="苹方" w:eastAsia="苹方" w:cs="苹方"/>
                      <w:i w:val="0"/>
                      <w:iCs w:val="0"/>
                      <w:color w:val="000000"/>
                      <w:sz w:val="24"/>
                      <w:szCs w:val="24"/>
                      <w:u w:val="none"/>
                      <w:lang w:val="en-US" w:eastAsia="zh-CN"/>
                    </w:rPr>
                    <w:t>渣打银行长期深度服务外资及中资企业在越南的账户体系搭建与跨境金融安排，交流将从银行合规与风控的实际要求出发，解析外资企业在越南开户、资金流转及跨境支付中的关键审查逻辑，并重点讨论律师在金融合规、交易结构设计及风险隔离中的具体角色与可介入空间。</w:t>
                  </w:r>
                </w:p>
                <w:p w14:paraId="7C15BA7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p>
                <w:p w14:paraId="24AD2FB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b/>
                      <w:bCs/>
                      <w:i w:val="0"/>
                      <w:iCs w:val="0"/>
                      <w:color w:val="000000"/>
                      <w:sz w:val="24"/>
                      <w:szCs w:val="24"/>
                      <w:u w:val="single"/>
                      <w:lang w:val="en-US" w:eastAsia="zh-CN"/>
                    </w:rPr>
                    <w:t>PwC座谈交流｜税务与公司结构的合规边界</w:t>
                  </w:r>
                  <w:r>
                    <w:rPr>
                      <w:rFonts w:hint="eastAsia" w:ascii="苹方" w:hAnsi="苹方" w:eastAsia="苹方" w:cs="苹方"/>
                      <w:i w:val="0"/>
                      <w:iCs w:val="0"/>
                      <w:color w:val="000000"/>
                      <w:sz w:val="24"/>
                      <w:szCs w:val="24"/>
                      <w:u w:val="none"/>
                      <w:lang w:val="en-US" w:eastAsia="zh-CN"/>
                    </w:rPr>
                    <w:br w:type="textWrapping"/>
                  </w:r>
                  <w:r>
                    <w:rPr>
                      <w:rFonts w:hint="eastAsia" w:ascii="苹方" w:hAnsi="苹方" w:eastAsia="苹方" w:cs="苹方"/>
                      <w:i w:val="0"/>
                      <w:iCs w:val="0"/>
                      <w:color w:val="000000"/>
                      <w:sz w:val="24"/>
                      <w:szCs w:val="24"/>
                      <w:u w:val="none"/>
                      <w:lang w:val="en-US" w:eastAsia="zh-CN"/>
                    </w:rPr>
                    <w:t>普华永道是长期深度参与外资企业在越南设立、运营及重组的国际专业服务机构之一，持续服务大量中资与跨国企业在当地的税务与合规事务。</w:t>
                  </w:r>
                </w:p>
                <w:p w14:paraId="6D81728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i w:val="0"/>
                      <w:iCs w:val="0"/>
                      <w:color w:val="000000"/>
                      <w:sz w:val="24"/>
                      <w:szCs w:val="24"/>
                      <w:u w:val="none"/>
                      <w:lang w:val="en-US" w:eastAsia="zh-CN"/>
                    </w:rPr>
                    <w:t>交流将围绕外资企业在越南常见的税务安排、公司结构设计与合规雷区展开，结合实际案例拆解哪些风险源于前期结构选择失误，并重点讨论律师与会计师事务所在跨境项目中的分工逻辑、协作边界及信息衔接方式，帮助参与者更清晰判断自身在综合专业服务体系中的价值位置。</w:t>
                  </w:r>
                </w:p>
                <w:p w14:paraId="6105CF2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p>
                <w:p w14:paraId="2F4D192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i w:val="0"/>
                      <w:iCs w:val="0"/>
                      <w:color w:val="000000"/>
                      <w:sz w:val="24"/>
                      <w:szCs w:val="24"/>
                      <w:u w:val="none"/>
                      <w:lang w:val="en-US" w:eastAsia="zh-CN"/>
                    </w:rPr>
                    <w:t>晚餐：小范围交流，自由讨论与即时问题拆解</w:t>
                  </w:r>
                </w:p>
              </w:tc>
            </w:tr>
            <w:tr w14:paraId="14B877F5">
              <w:trPr>
                <w:gridAfter w:val="2"/>
                <w:wAfter w:w="236" w:type="dxa"/>
                <w:trHeight w:val="2200" w:hRule="atLeast"/>
              </w:trPr>
              <w:tc>
                <w:tcPr>
                  <w:tcW w:w="1353" w:type="dxa"/>
                  <w:tcBorders>
                    <w:top w:val="nil"/>
                    <w:left w:val="nil"/>
                    <w:bottom w:val="nil"/>
                    <w:right w:val="single" w:color="000000" w:sz="4" w:space="0"/>
                  </w:tcBorders>
                  <w:shd w:val="clear" w:color="auto" w:fill="auto"/>
                  <w:vAlign w:val="center"/>
                </w:tcPr>
                <w:p w14:paraId="6C476B9B">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苹方" w:hAnsi="苹方" w:eastAsia="苹方" w:cs="苹方"/>
                      <w:i w:val="0"/>
                      <w:iCs w:val="0"/>
                      <w:color w:val="000000"/>
                      <w:kern w:val="0"/>
                      <w:sz w:val="24"/>
                      <w:szCs w:val="24"/>
                      <w:u w:val="none"/>
                      <w:lang w:eastAsia="zh-CN" w:bidi="ar"/>
                    </w:rPr>
                  </w:pPr>
                </w:p>
                <w:p w14:paraId="32D868D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sz w:val="24"/>
                      <w:szCs w:val="24"/>
                      <w:u w:val="none"/>
                      <w:lang w:val="en-US"/>
                    </w:rPr>
                  </w:pPr>
                  <w:r>
                    <w:rPr>
                      <w:rFonts w:hint="eastAsia" w:ascii="苹方" w:hAnsi="苹方" w:eastAsia="苹方" w:cs="苹方"/>
                      <w:i w:val="0"/>
                      <w:iCs w:val="0"/>
                      <w:color w:val="000000"/>
                      <w:kern w:val="0"/>
                      <w:sz w:val="24"/>
                      <w:szCs w:val="24"/>
                      <w:u w:val="none"/>
                      <w:lang w:val="en-US" w:eastAsia="zh-CN" w:bidi="ar"/>
                    </w:rPr>
                    <w:t>2月27日</w:t>
                  </w:r>
                  <w:r>
                    <w:rPr>
                      <w:rFonts w:hint="eastAsia" w:ascii="苹方" w:hAnsi="苹方" w:eastAsia="苹方" w:cs="苹方"/>
                      <w:i w:val="0"/>
                      <w:iCs w:val="0"/>
                      <w:color w:val="000000"/>
                      <w:kern w:val="0"/>
                      <w:sz w:val="24"/>
                      <w:szCs w:val="24"/>
                      <w:u w:val="none"/>
                      <w:lang w:val="en-US" w:eastAsia="zh-CN" w:bidi="ar"/>
                    </w:rPr>
                    <w:br w:type="textWrapping"/>
                  </w:r>
                  <w:r>
                    <w:rPr>
                      <w:rFonts w:hint="eastAsia" w:ascii="苹方" w:hAnsi="苹方" w:eastAsia="苹方" w:cs="苹方"/>
                      <w:i w:val="0"/>
                      <w:iCs w:val="0"/>
                      <w:color w:val="000000"/>
                      <w:kern w:val="0"/>
                      <w:sz w:val="24"/>
                      <w:szCs w:val="24"/>
                      <w:u w:val="none"/>
                      <w:lang w:val="en-US" w:eastAsia="zh-CN" w:bidi="ar"/>
                    </w:rPr>
                    <w:t>星期五</w:t>
                  </w:r>
                  <w:r>
                    <w:rPr>
                      <w:rFonts w:hint="eastAsia" w:ascii="苹方" w:hAnsi="苹方" w:eastAsia="苹方" w:cs="苹方"/>
                      <w:i w:val="0"/>
                      <w:iCs w:val="0"/>
                      <w:color w:val="000000"/>
                      <w:kern w:val="0"/>
                      <w:sz w:val="24"/>
                      <w:szCs w:val="24"/>
                      <w:u w:val="none"/>
                      <w:lang w:val="en-US" w:eastAsia="zh-CN" w:bidi="ar"/>
                    </w:rPr>
                    <w:br w:type="textWrapping"/>
                  </w:r>
                  <w:r>
                    <w:rPr>
                      <w:rFonts w:hint="eastAsia" w:ascii="苹方" w:hAnsi="苹方" w:eastAsia="苹方" w:cs="苹方"/>
                      <w:i w:val="0"/>
                      <w:iCs w:val="0"/>
                      <w:color w:val="000000"/>
                      <w:kern w:val="0"/>
                      <w:sz w:val="24"/>
                      <w:szCs w:val="24"/>
                      <w:u w:val="none"/>
                      <w:lang w:val="en-US" w:eastAsia="zh-CN" w:bidi="ar"/>
                    </w:rPr>
                    <w:t xml:space="preserve">Day 3 </w:t>
                  </w:r>
                </w:p>
              </w:tc>
              <w:tc>
                <w:tcPr>
                  <w:tcW w:w="8627" w:type="dxa"/>
                  <w:tcBorders>
                    <w:top w:val="nil"/>
                    <w:left w:val="nil"/>
                    <w:bottom w:val="nil"/>
                    <w:right w:val="nil"/>
                  </w:tcBorders>
                  <w:shd w:val="clear" w:color="auto" w:fill="auto"/>
                  <w:vAlign w:val="center"/>
                </w:tcPr>
                <w:p w14:paraId="1CC026B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p>
                <w:p w14:paraId="4BC8F0C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b/>
                      <w:bCs/>
                      <w:i w:val="0"/>
                      <w:iCs w:val="0"/>
                      <w:color w:val="000000"/>
                      <w:sz w:val="24"/>
                      <w:szCs w:val="24"/>
                      <w:u w:val="single"/>
                      <w:lang w:val="en-US" w:eastAsia="zh-CN"/>
                    </w:rPr>
                    <w:t>ASF 座谈交流｜从供应链一线理解企业真实运营成本</w:t>
                  </w:r>
                  <w:r>
                    <w:rPr>
                      <w:rFonts w:hint="eastAsia" w:ascii="苹方" w:hAnsi="苹方" w:eastAsia="苹方" w:cs="苹方"/>
                      <w:b/>
                      <w:bCs/>
                      <w:i w:val="0"/>
                      <w:iCs w:val="0"/>
                      <w:color w:val="000000"/>
                      <w:sz w:val="24"/>
                      <w:szCs w:val="24"/>
                      <w:u w:val="single"/>
                      <w:lang w:val="en-US" w:eastAsia="zh-CN"/>
                    </w:rPr>
                    <w:br w:type="textWrapping"/>
                  </w:r>
                  <w:r>
                    <w:rPr>
                      <w:rFonts w:hint="eastAsia" w:ascii="苹方" w:hAnsi="苹方" w:eastAsia="苹方" w:cs="苹方"/>
                      <w:i w:val="0"/>
                      <w:iCs w:val="0"/>
                      <w:color w:val="000000"/>
                      <w:sz w:val="24"/>
                      <w:szCs w:val="24"/>
                      <w:u w:val="none"/>
                      <w:lang w:val="en-US" w:eastAsia="zh-CN"/>
                    </w:rPr>
                    <w:t>ASF 是长期服务中资企业在越南落地与运营的本地物流与供应链服务方之一，直接参与企业在仓储、运输及本地履约环节的日常运作。交流将从物流与供应链视角切入，讨论中资企业在越南经营过程中被低估的真实成本结构，以及由此引发的合规、用工安排与合同管理风险，帮助律师理解这些问题在法律层面的成因与应对空间。</w:t>
                  </w:r>
                </w:p>
                <w:p w14:paraId="48ED7D1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p>
                <w:p w14:paraId="6B4EB43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b/>
                      <w:bCs/>
                      <w:i w:val="0"/>
                      <w:iCs w:val="0"/>
                      <w:color w:val="000000"/>
                      <w:sz w:val="24"/>
                      <w:szCs w:val="24"/>
                      <w:u w:val="single"/>
                      <w:lang w:val="en-US" w:eastAsia="zh-CN"/>
                    </w:rPr>
                    <w:t>Amazon 座谈交流｜平台型企业的合规与法律需求</w:t>
                  </w:r>
                  <w:r>
                    <w:rPr>
                      <w:rFonts w:hint="eastAsia" w:ascii="苹方" w:hAnsi="苹方" w:eastAsia="苹方" w:cs="苹方"/>
                      <w:i w:val="0"/>
                      <w:iCs w:val="0"/>
                      <w:color w:val="000000"/>
                      <w:sz w:val="24"/>
                      <w:szCs w:val="24"/>
                      <w:u w:val="none"/>
                      <w:lang w:val="en-US" w:eastAsia="zh-CN"/>
                    </w:rPr>
                    <w:br w:type="textWrapping"/>
                  </w:r>
                  <w:r>
                    <w:rPr>
                      <w:rFonts w:hint="eastAsia" w:ascii="苹方" w:hAnsi="苹方" w:eastAsia="苹方" w:cs="苹方"/>
                      <w:i w:val="0"/>
                      <w:iCs w:val="0"/>
                      <w:color w:val="000000"/>
                      <w:sz w:val="24"/>
                      <w:szCs w:val="24"/>
                      <w:u w:val="none"/>
                      <w:lang w:val="en-US" w:eastAsia="zh-CN"/>
                    </w:rPr>
                    <w:t>围绕跨境电商与平台型企业在越南的实际运营模式，交流将重点探讨平台招商、履约、数据合规及争议处理等环节中对法律服务的真实需求，帮助参与者理解平台规则、商业模式与当地法律环境之间的张力，以及律师在该类业务中的可介入路径。</w:t>
                  </w:r>
                </w:p>
                <w:p w14:paraId="1CD5E22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p>
                <w:p w14:paraId="6C7CE18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b/>
                      <w:bCs/>
                      <w:i w:val="0"/>
                      <w:iCs w:val="0"/>
                      <w:color w:val="000000"/>
                      <w:sz w:val="24"/>
                      <w:szCs w:val="24"/>
                      <w:u w:val="single"/>
                      <w:lang w:val="en-US" w:eastAsia="zh-CN"/>
                    </w:rPr>
                    <w:t>Rajah &amp; Tann（胡志明）交流座谈｜中资企业在越南落地的法律实务座谈</w:t>
                  </w:r>
                  <w:r>
                    <w:rPr>
                      <w:rFonts w:hint="eastAsia" w:ascii="苹方" w:hAnsi="苹方" w:eastAsia="苹方" w:cs="苹方"/>
                      <w:i w:val="0"/>
                      <w:iCs w:val="0"/>
                      <w:color w:val="000000"/>
                      <w:sz w:val="24"/>
                      <w:szCs w:val="24"/>
                      <w:u w:val="none"/>
                      <w:lang w:val="en-US" w:eastAsia="zh-CN"/>
                    </w:rPr>
                    <w:br w:type="textWrapping"/>
                  </w:r>
                  <w:r>
                    <w:rPr>
                      <w:rFonts w:hint="eastAsia" w:ascii="苹方" w:hAnsi="苹方" w:eastAsia="苹方" w:cs="苹方"/>
                      <w:i w:val="0"/>
                      <w:iCs w:val="0"/>
                      <w:color w:val="000000"/>
                      <w:sz w:val="24"/>
                      <w:szCs w:val="24"/>
                      <w:u w:val="none"/>
                      <w:lang w:val="en-US" w:eastAsia="zh-CN"/>
                    </w:rPr>
                    <w:t>Rajah &amp; Tann 是东南亚具有重要影响力的区域性律师事务所，在越南长期为中资及跨国企业提供投资、公司设立、合规与争议解决等法律服务。</w:t>
                  </w:r>
                </w:p>
                <w:p w14:paraId="1EAD9DA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i w:val="0"/>
                      <w:iCs w:val="0"/>
                      <w:color w:val="000000"/>
                      <w:sz w:val="24"/>
                      <w:szCs w:val="24"/>
                      <w:u w:val="none"/>
                      <w:lang w:val="en-US" w:eastAsia="zh-CN"/>
                    </w:rPr>
                    <w:t>交流将围绕中资企业在越南进入与运营过程中高频出现的法律与合规问题展开，重点讨论公司结构设计、用工管理、合同执行及持续合规中的实务难点，以及相关问题在实际操作中的处理路径与风险边界。</w:t>
                  </w:r>
                </w:p>
                <w:p w14:paraId="0E22AC1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p>
                <w:p w14:paraId="33E90D4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p>
                <w:p w14:paraId="6F7BA6A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b/>
                      <w:bCs/>
                      <w:i w:val="0"/>
                      <w:iCs w:val="0"/>
                      <w:color w:val="000000"/>
                      <w:sz w:val="24"/>
                      <w:szCs w:val="24"/>
                      <w:u w:val="single"/>
                      <w:lang w:val="en-US" w:eastAsia="zh-CN"/>
                    </w:rPr>
                    <w:t>Eureka · 封闭式复盘现场课（彭帅主讲）</w:t>
                  </w:r>
                  <w:r>
                    <w:rPr>
                      <w:rFonts w:hint="eastAsia" w:ascii="苹方" w:hAnsi="苹方" w:eastAsia="苹方" w:cs="苹方"/>
                      <w:b/>
                      <w:bCs/>
                      <w:i w:val="0"/>
                      <w:iCs w:val="0"/>
                      <w:color w:val="000000"/>
                      <w:sz w:val="24"/>
                      <w:szCs w:val="24"/>
                      <w:u w:val="single"/>
                      <w:lang w:val="en-US" w:eastAsia="zh-CN"/>
                    </w:rPr>
                    <w:br w:type="textWrapping"/>
                  </w:r>
                  <w:r>
                    <w:rPr>
                      <w:rFonts w:hint="eastAsia" w:ascii="苹方" w:hAnsi="苹方" w:eastAsia="苹方" w:cs="苹方"/>
                      <w:i w:val="0"/>
                      <w:iCs w:val="0"/>
                      <w:color w:val="000000"/>
                      <w:sz w:val="24"/>
                      <w:szCs w:val="24"/>
                      <w:u w:val="none"/>
                      <w:lang w:val="en-US" w:eastAsia="zh-CN"/>
                    </w:rPr>
                    <w:t>复盘安排在 Eureka 位于胡志明市地标性建筑 Landmark 81 内的会议室进行。彭帅将结合调研内容，按照出海实务中的“需求识别—决策链参与—服务重构”逻辑进行系统复盘，识别哪些看似热门的方向并不具备可持续的商业价值，并引导参与律师判断自身是否具备进入越南市场的条件，以及更适合采用何种出海路径与业务模式。</w:t>
                  </w:r>
                </w:p>
                <w:p w14:paraId="2BBADC3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p>
                <w:p w14:paraId="6CA1983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default" w:ascii="苹方" w:hAnsi="苹方" w:eastAsia="苹方" w:cs="苹方"/>
                      <w:i w:val="0"/>
                      <w:iCs w:val="0"/>
                      <w:color w:val="000000"/>
                      <w:sz w:val="24"/>
                      <w:szCs w:val="24"/>
                      <w:u w:val="none"/>
                      <w:lang w:val="en-US" w:eastAsia="zh-CN"/>
                    </w:rPr>
                  </w:pPr>
                  <w:r>
                    <w:rPr>
                      <w:rFonts w:hint="eastAsia" w:ascii="苹方" w:hAnsi="苹方" w:eastAsia="苹方" w:cs="苹方"/>
                      <w:i w:val="0"/>
                      <w:iCs w:val="0"/>
                      <w:color w:val="000000"/>
                      <w:sz w:val="24"/>
                      <w:szCs w:val="24"/>
                      <w:u w:val="none"/>
                      <w:lang w:val="en-US" w:eastAsia="zh-CN"/>
                    </w:rPr>
                    <w:t>结业晚宴</w:t>
                  </w:r>
                </w:p>
              </w:tc>
            </w:tr>
            <w:tr w14:paraId="40645060">
              <w:trPr>
                <w:gridAfter w:val="2"/>
                <w:wAfter w:w="236" w:type="dxa"/>
                <w:trHeight w:val="1625" w:hRule="atLeast"/>
              </w:trPr>
              <w:tc>
                <w:tcPr>
                  <w:tcW w:w="1353" w:type="dxa"/>
                  <w:tcBorders>
                    <w:top w:val="nil"/>
                    <w:left w:val="nil"/>
                    <w:bottom w:val="single" w:color="000000" w:sz="4" w:space="0"/>
                    <w:right w:val="single" w:color="000000" w:sz="4" w:space="0"/>
                  </w:tcBorders>
                  <w:shd w:val="clear" w:color="auto" w:fill="auto"/>
                  <w:vAlign w:val="center"/>
                </w:tcPr>
                <w:p w14:paraId="5C07CD9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苹方" w:hAnsi="苹方" w:eastAsia="苹方" w:cs="苹方"/>
                      <w:i w:val="0"/>
                      <w:iCs w:val="0"/>
                      <w:color w:val="000000"/>
                      <w:kern w:val="0"/>
                      <w:sz w:val="24"/>
                      <w:szCs w:val="24"/>
                      <w:u w:val="none"/>
                      <w:lang w:val="en-US" w:eastAsia="zh-CN" w:bidi="ar"/>
                    </w:rPr>
                  </w:pPr>
                  <w:r>
                    <w:rPr>
                      <w:rFonts w:hint="eastAsia" w:ascii="苹方" w:hAnsi="苹方" w:eastAsia="苹方" w:cs="苹方"/>
                      <w:i w:val="0"/>
                      <w:iCs w:val="0"/>
                      <w:color w:val="000000"/>
                      <w:kern w:val="0"/>
                      <w:sz w:val="24"/>
                      <w:szCs w:val="24"/>
                      <w:u w:val="none"/>
                      <w:lang w:val="en-US" w:eastAsia="zh-CN" w:bidi="ar"/>
                    </w:rPr>
                    <w:t>2月28日</w:t>
                  </w:r>
                  <w:r>
                    <w:rPr>
                      <w:rFonts w:hint="eastAsia" w:ascii="苹方" w:hAnsi="苹方" w:eastAsia="苹方" w:cs="苹方"/>
                      <w:i w:val="0"/>
                      <w:iCs w:val="0"/>
                      <w:color w:val="000000"/>
                      <w:kern w:val="0"/>
                      <w:sz w:val="24"/>
                      <w:szCs w:val="24"/>
                      <w:u w:val="none"/>
                      <w:lang w:val="en-US" w:eastAsia="zh-CN" w:bidi="ar"/>
                    </w:rPr>
                    <w:br w:type="textWrapping"/>
                  </w:r>
                  <w:r>
                    <w:rPr>
                      <w:rFonts w:hint="eastAsia" w:ascii="苹方" w:hAnsi="苹方" w:eastAsia="苹方" w:cs="苹方"/>
                      <w:i w:val="0"/>
                      <w:iCs w:val="0"/>
                      <w:color w:val="000000"/>
                      <w:kern w:val="0"/>
                      <w:sz w:val="24"/>
                      <w:szCs w:val="24"/>
                      <w:u w:val="none"/>
                      <w:lang w:val="en-US" w:eastAsia="zh-CN" w:bidi="ar"/>
                    </w:rPr>
                    <w:t>星期六</w:t>
                  </w:r>
                  <w:r>
                    <w:rPr>
                      <w:rFonts w:hint="eastAsia" w:ascii="苹方" w:hAnsi="苹方" w:eastAsia="苹方" w:cs="苹方"/>
                      <w:i w:val="0"/>
                      <w:iCs w:val="0"/>
                      <w:color w:val="000000"/>
                      <w:kern w:val="0"/>
                      <w:sz w:val="24"/>
                      <w:szCs w:val="24"/>
                      <w:u w:val="none"/>
                      <w:lang w:val="en-US" w:eastAsia="zh-CN" w:bidi="ar"/>
                    </w:rPr>
                    <w:br w:type="textWrapping"/>
                  </w:r>
                  <w:r>
                    <w:rPr>
                      <w:rFonts w:hint="eastAsia" w:ascii="苹方" w:hAnsi="苹方" w:eastAsia="苹方" w:cs="苹方"/>
                      <w:i w:val="0"/>
                      <w:iCs w:val="0"/>
                      <w:color w:val="000000"/>
                      <w:kern w:val="0"/>
                      <w:sz w:val="24"/>
                      <w:szCs w:val="24"/>
                      <w:u w:val="none"/>
                      <w:lang w:val="en-US" w:eastAsia="zh-CN" w:bidi="ar"/>
                    </w:rPr>
                    <w:t>Day 4</w:t>
                  </w:r>
                </w:p>
              </w:tc>
              <w:tc>
                <w:tcPr>
                  <w:tcW w:w="8627" w:type="dxa"/>
                  <w:tcBorders>
                    <w:top w:val="nil"/>
                    <w:left w:val="nil"/>
                    <w:bottom w:val="single" w:color="000000" w:sz="4" w:space="0"/>
                    <w:right w:val="nil"/>
                  </w:tcBorders>
                  <w:shd w:val="clear" w:color="auto" w:fill="auto"/>
                  <w:vAlign w:val="center"/>
                </w:tcPr>
                <w:p w14:paraId="6AC6718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p>
                <w:p w14:paraId="70979BA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i w:val="0"/>
                      <w:iCs w:val="0"/>
                      <w:color w:val="000000"/>
                      <w:sz w:val="24"/>
                      <w:szCs w:val="24"/>
                      <w:u w:val="none"/>
                      <w:lang w:val="en-US" w:eastAsia="zh-CN"/>
                    </w:rPr>
                    <w:t>根据个人需求，安排点对点机构沟通与考察建议</w:t>
                  </w:r>
                </w:p>
                <w:p w14:paraId="64004BB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i w:val="0"/>
                      <w:iCs w:val="0"/>
                      <w:color w:val="000000"/>
                      <w:sz w:val="24"/>
                      <w:szCs w:val="24"/>
                      <w:u w:val="none"/>
                      <w:lang w:val="en-US" w:eastAsia="zh-CN"/>
                    </w:rPr>
                    <w:t>个性化体验胡志明市：城市漫步、购物体验、放松休闲</w:t>
                  </w:r>
                </w:p>
                <w:p w14:paraId="41A291B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000000"/>
                      <w:sz w:val="24"/>
                      <w:szCs w:val="24"/>
                      <w:u w:val="none"/>
                      <w:lang w:val="en-US" w:eastAsia="zh-CN"/>
                    </w:rPr>
                  </w:pPr>
                  <w:r>
                    <w:rPr>
                      <w:rFonts w:hint="eastAsia" w:ascii="苹方" w:hAnsi="苹方" w:eastAsia="苹方" w:cs="苹方"/>
                      <w:i w:val="0"/>
                      <w:iCs w:val="0"/>
                      <w:color w:val="000000"/>
                      <w:sz w:val="24"/>
                      <w:szCs w:val="24"/>
                      <w:u w:val="none"/>
                      <w:lang w:val="en-US" w:eastAsia="zh-CN"/>
                    </w:rPr>
                    <w:t>结束行程、启程回国</w:t>
                  </w:r>
                </w:p>
              </w:tc>
            </w:tr>
          </w:tbl>
          <w:p w14:paraId="2479EC1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苹方" w:hAnsi="苹方" w:eastAsia="苹方" w:cs="苹方"/>
                <w:i w:val="0"/>
                <w:iCs w:val="0"/>
                <w:color w:val="auto"/>
                <w:kern w:val="0"/>
                <w:sz w:val="24"/>
                <w:szCs w:val="24"/>
                <w:u w:val="none"/>
                <w:lang w:val="en-US" w:eastAsia="zh-CN" w:bidi="ar"/>
              </w:rPr>
            </w:pPr>
          </w:p>
        </w:tc>
      </w:tr>
    </w:tbl>
    <w:p w14:paraId="48735008">
      <w:pPr>
        <w:pStyle w:val="2"/>
        <w:spacing w:before="146" w:line="407" w:lineRule="exact"/>
        <w:jc w:val="left"/>
        <w:rPr>
          <w:rFonts w:hint="eastAsia" w:ascii="PingFang HK Regular" w:hAnsi="PingFang HK Regular" w:eastAsia="PingFang HK Regular" w:cs="PingFang HK Regular"/>
          <w:i/>
          <w:iCs/>
          <w:color w:val="2E54A1" w:themeColor="accent1" w:themeShade="BF"/>
          <w:position w:val="14"/>
          <w:sz w:val="21"/>
          <w:szCs w:val="21"/>
          <w:lang w:val="en-US" w:eastAsia="zh-CN"/>
        </w:rPr>
      </w:pPr>
      <w:r>
        <w:rPr>
          <w:rFonts w:hint="eastAsia" w:ascii="PingFang HK Regular" w:hAnsi="PingFang HK Regular" w:eastAsia="PingFang HK Regular" w:cs="PingFang HK Regular"/>
          <w:i/>
          <w:iCs/>
          <w:color w:val="2E54A1" w:themeColor="accent1" w:themeShade="BF"/>
          <w:position w:val="14"/>
          <w:sz w:val="21"/>
          <w:szCs w:val="21"/>
        </w:rPr>
        <w:t>*请注意：上述行程安排可能根据实际情况发生变化。我们将保持灵活性，以适应可能的变并确</w:t>
      </w:r>
      <w:r>
        <w:rPr>
          <w:rFonts w:hint="eastAsia" w:ascii="PingFang HK Regular" w:hAnsi="PingFang HK Regular" w:eastAsia="PingFang HK Regular" w:cs="PingFang HK Regular"/>
          <w:i/>
          <w:iCs/>
          <w:color w:val="2E54A1" w:themeColor="accent1" w:themeShade="BF"/>
          <w:position w:val="14"/>
          <w:sz w:val="21"/>
          <w:szCs w:val="21"/>
          <w:lang w:val="en-US" w:eastAsia="zh-CN"/>
        </w:rPr>
        <w:t>宝整个行程顺利。</w:t>
      </w:r>
    </w:p>
    <w:p w14:paraId="7211B391">
      <w:pPr>
        <w:pStyle w:val="2"/>
        <w:spacing w:before="146" w:line="407" w:lineRule="exact"/>
        <w:jc w:val="left"/>
        <w:rPr>
          <w:rFonts w:hint="eastAsia" w:ascii="PingFang HK Regular" w:hAnsi="PingFang HK Regular" w:eastAsia="PingFang HK Regular" w:cs="PingFang HK Regular"/>
          <w:i/>
          <w:iCs/>
          <w:color w:val="F54A45"/>
          <w:position w:val="14"/>
          <w:sz w:val="24"/>
          <w:szCs w:val="24"/>
          <w:lang w:val="en-US" w:eastAsia="zh-CN"/>
        </w:rPr>
      </w:pPr>
    </w:p>
    <w:p w14:paraId="508DD318">
      <w:pPr>
        <w:keepNext w:val="0"/>
        <w:keepLines w:val="0"/>
        <w:widowControl/>
        <w:suppressLineNumbers w:val="0"/>
        <w:spacing w:line="360" w:lineRule="auto"/>
        <w:ind w:left="0" w:firstLine="0"/>
        <w:jc w:val="left"/>
        <w:rPr>
          <w:rFonts w:hint="eastAsia" w:ascii="PingFang HK Semibold" w:hAnsi="PingFang HK Semibold" w:eastAsia="PingFang HK Semibold" w:cs="PingFang HK Semibold"/>
          <w:b/>
          <w:bCs/>
          <w:i w:val="0"/>
          <w:iCs w:val="0"/>
          <w:caps w:val="0"/>
          <w:color w:val="FF0000"/>
          <w:spacing w:val="0"/>
          <w:kern w:val="0"/>
          <w:sz w:val="24"/>
          <w:szCs w:val="24"/>
          <w:u w:val="none"/>
          <w:lang w:val="en-US" w:eastAsia="zh-CN" w:bidi="ar"/>
        </w:rPr>
      </w:pPr>
      <w:r>
        <w:rPr>
          <w:rFonts w:hint="eastAsia" w:ascii="PingFang HK Semibold" w:hAnsi="PingFang HK Semibold" w:eastAsia="PingFang HK Semibold" w:cs="PingFang HK Semibold"/>
          <w:b/>
          <w:bCs/>
          <w:i w:val="0"/>
          <w:iCs w:val="0"/>
          <w:caps w:val="0"/>
          <w:color w:val="000000" w:themeColor="text1"/>
          <w:spacing w:val="0"/>
          <w:kern w:val="0"/>
          <w:sz w:val="24"/>
          <w:szCs w:val="24"/>
          <w:u w:val="none"/>
          <w:lang w:val="en-US" w:eastAsia="zh-CN" w:bidi="ar"/>
          <w14:textFill>
            <w14:solidFill>
              <w14:schemeClr w14:val="tx1"/>
            </w14:solidFill>
          </w14:textFill>
        </w:rPr>
        <w:t>行程费用 ：</w:t>
      </w:r>
    </w:p>
    <w:p w14:paraId="5CA5A9BF">
      <w:pPr>
        <w:keepNext w:val="0"/>
        <w:keepLines w:val="0"/>
        <w:widowControl/>
        <w:numPr>
          <w:ilvl w:val="0"/>
          <w:numId w:val="0"/>
        </w:numPr>
        <w:suppressLineNumbers w:val="0"/>
        <w:spacing w:line="360" w:lineRule="auto"/>
        <w:ind w:leftChars="0"/>
        <w:jc w:val="left"/>
        <w:rPr>
          <w:rFonts w:hint="eastAsia" w:ascii="PingFang HK" w:hAnsi="PingFang HK" w:eastAsia="PingFang HK" w:cs="PingFang HK"/>
          <w:b w:val="0"/>
          <w:bCs w:val="0"/>
          <w:color w:val="auto"/>
          <w:kern w:val="0"/>
          <w:sz w:val="24"/>
          <w:szCs w:val="24"/>
          <w:lang w:val="en-US" w:eastAsia="zh-CN" w:bidi="ar"/>
        </w:rPr>
      </w:pPr>
      <w:r>
        <w:rPr>
          <w:rFonts w:hint="eastAsia" w:ascii="PingFang HK" w:hAnsi="PingFang HK" w:eastAsia="PingFang HK" w:cs="PingFang HK"/>
          <w:b w:val="0"/>
          <w:bCs w:val="0"/>
          <w:color w:val="auto"/>
          <w:kern w:val="0"/>
          <w:sz w:val="24"/>
          <w:szCs w:val="24"/>
          <w:lang w:val="en-US" w:eastAsia="zh-CN" w:bidi="ar"/>
        </w:rPr>
        <w:t>行程费用：</w:t>
      </w:r>
      <w:r>
        <w:rPr>
          <w:rFonts w:hint="eastAsia" w:ascii="PingFang HK Semibold" w:hAnsi="PingFang HK Semibold" w:eastAsia="PingFang HK Semibold" w:cs="PingFang HK Semibold"/>
          <w:b/>
          <w:bCs/>
          <w:color w:val="FF0000"/>
          <w:kern w:val="0"/>
          <w:sz w:val="24"/>
          <w:szCs w:val="24"/>
          <w:lang w:val="en-US" w:eastAsia="zh-CN" w:bidi="ar"/>
        </w:rPr>
        <w:t>17800元/位</w:t>
      </w:r>
    </w:p>
    <w:p w14:paraId="03C6C501">
      <w:pPr>
        <w:keepNext w:val="0"/>
        <w:keepLines w:val="0"/>
        <w:widowControl/>
        <w:suppressLineNumbers w:val="0"/>
        <w:spacing w:line="360" w:lineRule="auto"/>
        <w:ind w:left="0" w:firstLine="0"/>
        <w:jc w:val="left"/>
        <w:rPr>
          <w:rFonts w:hint="eastAsia" w:ascii="PingFang HK Regular" w:hAnsi="PingFang HK Regular" w:eastAsia="PingFang HK Regular" w:cs="PingFang HK Regular"/>
          <w:b/>
          <w:bCs/>
          <w:color w:val="FF0000"/>
          <w:kern w:val="0"/>
          <w:sz w:val="24"/>
          <w:szCs w:val="24"/>
          <w:lang w:val="en-US" w:eastAsia="zh-CN" w:bidi="ar"/>
        </w:rPr>
      </w:pPr>
      <w:r>
        <w:rPr>
          <w:rFonts w:hint="eastAsia" w:ascii="PingFang HK Regular" w:hAnsi="PingFang HK Regular" w:eastAsia="PingFang HK Regular" w:cs="PingFang HK Regular"/>
          <w:color w:val="000000"/>
          <w:kern w:val="0"/>
          <w:sz w:val="24"/>
          <w:szCs w:val="24"/>
          <w:lang w:val="en-US" w:eastAsia="zh-CN" w:bidi="ar"/>
        </w:rPr>
        <w:t>2026年 2月14日</w:t>
      </w:r>
      <w:r>
        <w:rPr>
          <w:rFonts w:hint="eastAsia" w:ascii="PingFang HK Regular" w:hAnsi="PingFang HK Regular" w:eastAsia="PingFang HK Regular" w:cs="PingFang HK Regular"/>
          <w:color w:val="000000"/>
          <w:kern w:val="0"/>
          <w:sz w:val="24"/>
          <w:szCs w:val="24"/>
          <w:lang w:eastAsia="zh-CN" w:bidi="ar"/>
        </w:rPr>
        <w:t>（</w:t>
      </w:r>
      <w:r>
        <w:rPr>
          <w:rFonts w:hint="eastAsia" w:ascii="PingFang HK Regular" w:hAnsi="PingFang HK Regular" w:eastAsia="PingFang HK Regular" w:cs="PingFang HK Regular"/>
          <w:color w:val="000000"/>
          <w:kern w:val="0"/>
          <w:sz w:val="24"/>
          <w:szCs w:val="24"/>
          <w:lang w:val="en-US" w:eastAsia="zh-Hans" w:bidi="ar"/>
        </w:rPr>
        <w:t>含</w:t>
      </w:r>
      <w:r>
        <w:rPr>
          <w:rFonts w:hint="eastAsia" w:ascii="PingFang HK Regular" w:hAnsi="PingFang HK Regular" w:eastAsia="PingFang HK Regular" w:cs="PingFang HK Regular"/>
          <w:color w:val="000000"/>
          <w:kern w:val="0"/>
          <w:sz w:val="24"/>
          <w:szCs w:val="24"/>
          <w:lang w:eastAsia="zh-Hans" w:bidi="ar"/>
        </w:rPr>
        <w:t>）</w:t>
      </w:r>
      <w:r>
        <w:rPr>
          <w:rFonts w:hint="eastAsia" w:ascii="PingFang HK Regular" w:hAnsi="PingFang HK Regular" w:eastAsia="PingFang HK Regular" w:cs="PingFang HK Regular"/>
          <w:color w:val="000000"/>
          <w:kern w:val="0"/>
          <w:sz w:val="24"/>
          <w:szCs w:val="24"/>
          <w:lang w:val="en-US" w:eastAsia="zh-CN" w:bidi="ar"/>
        </w:rPr>
        <w:t>，</w:t>
      </w:r>
      <w:r>
        <w:rPr>
          <w:rFonts w:hint="eastAsia" w:ascii="PingFang HK Regular" w:hAnsi="PingFang HK Regular" w:eastAsia="PingFang HK Regular" w:cs="PingFang HK Regular"/>
          <w:color w:val="000000"/>
          <w:kern w:val="0"/>
          <w:sz w:val="24"/>
          <w:szCs w:val="24"/>
          <w:lang w:val="en-US" w:eastAsia="zh-Hans" w:bidi="ar"/>
        </w:rPr>
        <w:t>早鸟价</w:t>
      </w:r>
      <w:r>
        <w:rPr>
          <w:rFonts w:hint="eastAsia" w:ascii="PingFang HK Regular" w:hAnsi="PingFang HK Regular" w:eastAsia="PingFang HK Regular" w:cs="PingFang HK Regular"/>
          <w:b/>
          <w:bCs/>
          <w:color w:val="FF0000"/>
          <w:kern w:val="0"/>
          <w:sz w:val="24"/>
          <w:szCs w:val="24"/>
          <w:lang w:val="en-US" w:eastAsia="zh-CN" w:bidi="ar"/>
        </w:rPr>
        <w:t>15,800元/人</w:t>
      </w:r>
    </w:p>
    <w:p w14:paraId="36F9D6B7">
      <w:pPr>
        <w:keepNext w:val="0"/>
        <w:keepLines w:val="0"/>
        <w:widowControl/>
        <w:suppressLineNumbers w:val="0"/>
        <w:spacing w:line="360" w:lineRule="auto"/>
        <w:ind w:left="0" w:firstLine="0"/>
        <w:jc w:val="left"/>
        <w:rPr>
          <w:rFonts w:hint="eastAsia" w:ascii="PingFang HK Regular" w:hAnsi="PingFang HK Regular" w:eastAsia="PingFang HK Regular" w:cs="PingFang HK Regular"/>
          <w:b w:val="0"/>
          <w:bCs w:val="0"/>
          <w:color w:val="auto"/>
          <w:kern w:val="0"/>
          <w:sz w:val="24"/>
          <w:szCs w:val="24"/>
          <w:lang w:val="en-US" w:eastAsia="zh-CN" w:bidi="ar"/>
        </w:rPr>
      </w:pPr>
      <w:r>
        <w:rPr>
          <w:rFonts w:hint="eastAsia" w:ascii="PingFang HK Regular" w:hAnsi="PingFang HK Regular" w:eastAsia="PingFang HK Regular" w:cs="PingFang HK Regular"/>
          <w:b w:val="0"/>
          <w:bCs w:val="0"/>
          <w:color w:val="auto"/>
          <w:kern w:val="0"/>
          <w:sz w:val="24"/>
          <w:szCs w:val="24"/>
          <w:lang w:val="en-US" w:eastAsia="zh-CN" w:bidi="ar"/>
        </w:rPr>
        <w:t>限额：8 人（报满即止）</w:t>
      </w:r>
    </w:p>
    <w:p w14:paraId="3C87D952">
      <w:pPr>
        <w:keepNext w:val="0"/>
        <w:keepLines w:val="0"/>
        <w:widowControl/>
        <w:numPr>
          <w:ilvl w:val="0"/>
          <w:numId w:val="0"/>
        </w:numPr>
        <w:suppressLineNumbers w:val="0"/>
        <w:spacing w:line="360" w:lineRule="auto"/>
        <w:ind w:leftChars="0"/>
        <w:jc w:val="left"/>
        <w:rPr>
          <w:rFonts w:hint="eastAsia" w:ascii="PingFang HK Semibold" w:hAnsi="PingFang HK Semibold" w:eastAsia="PingFang HK Semibold" w:cs="PingFang HK Semibold"/>
          <w:b/>
          <w:bCs/>
          <w:color w:val="FF0000"/>
          <w:kern w:val="0"/>
          <w:sz w:val="24"/>
          <w:szCs w:val="24"/>
          <w:lang w:val="en-US" w:eastAsia="zh-CN" w:bidi="ar"/>
        </w:rPr>
      </w:pPr>
    </w:p>
    <w:p w14:paraId="6933DE26">
      <w:pPr>
        <w:keepNext w:val="0"/>
        <w:keepLines w:val="0"/>
        <w:widowControl/>
        <w:suppressLineNumbers w:val="0"/>
        <w:spacing w:line="360" w:lineRule="auto"/>
        <w:ind w:left="0" w:firstLine="0"/>
        <w:jc w:val="left"/>
        <w:rPr>
          <w:rFonts w:hint="default" w:ascii="PingFang HK Regular" w:hAnsi="PingFang HK Regular" w:eastAsia="PingFang HK Regular" w:cs="PingFang HK Regular"/>
          <w:b w:val="0"/>
          <w:i w:val="0"/>
          <w:iCs w:val="0"/>
          <w:caps w:val="0"/>
          <w:color w:val="000000" w:themeColor="text1"/>
          <w:spacing w:val="0"/>
          <w:kern w:val="0"/>
          <w:sz w:val="24"/>
          <w:szCs w:val="24"/>
          <w:u w:val="singl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single"/>
          <w:lang w:val="en-US" w:eastAsia="zh-CN" w:bidi="ar"/>
          <w14:textFill>
            <w14:solidFill>
              <w14:schemeClr w14:val="tx1"/>
            </w14:solidFill>
          </w14:textFill>
        </w:rPr>
        <w:t>费用包含：</w:t>
      </w:r>
    </w:p>
    <w:p w14:paraId="29AAF67E">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专业讲座与交流：涵盖所有公务活动费用、专家讲座费以及与行业专家的交流机会。</w:t>
      </w:r>
    </w:p>
    <w:p w14:paraId="2A6D76AC">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翻译服务：提供专业的当地翻译服务。</w:t>
      </w:r>
    </w:p>
    <w:p w14:paraId="17AF8DFD">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住宿安排：越南全程五星级酒店住宿，标准双床房配置（默认2人一间）。</w:t>
      </w:r>
    </w:p>
    <w:p w14:paraId="0FD11892">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餐饮服务：越南全程商务用餐，包括每日早餐、午餐及晚餐。</w:t>
      </w:r>
    </w:p>
    <w:p w14:paraId="4E856A0B">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交通安排：提供越南当地的用车服务。</w:t>
      </w:r>
    </w:p>
    <w:p w14:paraId="71B41EC3">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小费：包含司机及导游的小费。</w:t>
      </w:r>
    </w:p>
    <w:p w14:paraId="6ABEB16B">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保险：个人海外人身意外保险费用。</w:t>
      </w:r>
    </w:p>
    <w:p w14:paraId="58B48C0A">
      <w:pPr>
        <w:keepNext w:val="0"/>
        <w:keepLines w:val="0"/>
        <w:widowControl/>
        <w:suppressLineNumbers w:val="0"/>
        <w:spacing w:line="360" w:lineRule="auto"/>
        <w:ind w:left="0" w:firstLine="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single"/>
          <w:lang w:val="en-US" w:eastAsia="zh-CN" w:bidi="ar"/>
          <w14:textFill>
            <w14:solidFill>
              <w14:schemeClr w14:val="tx1"/>
            </w14:solidFill>
          </w14:textFill>
        </w:rPr>
        <w:t>费用不包含：</w:t>
      </w:r>
    </w:p>
    <w:p w14:paraId="4B26C344">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个人旅行文件：护照办理费用和越南签证费用。</w:t>
      </w:r>
    </w:p>
    <w:p w14:paraId="1CD0A748">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国际交通：中国至越南的往返机票费用。</w:t>
      </w:r>
    </w:p>
    <w:p w14:paraId="2E007DB0">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住宿升级：若要求单人住宿，需支付额外的单房差费用。</w:t>
      </w:r>
    </w:p>
    <w:p w14:paraId="7C4A34E3">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未提及费用：费用包含中未列出的其他费用。</w:t>
      </w:r>
    </w:p>
    <w:p w14:paraId="5DD92D03">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个人消费：行程中未特别提及的个人消费，如购物、电话费、网络使用费等。</w:t>
      </w:r>
    </w:p>
    <w:p w14:paraId="3860BC24">
      <w:pPr>
        <w:keepNext w:val="0"/>
        <w:keepLines w:val="0"/>
        <w:widowControl/>
        <w:numPr>
          <w:ilvl w:val="0"/>
          <w:numId w:val="2"/>
        </w:numPr>
        <w:suppressLineNumbers w:val="0"/>
        <w:spacing w:line="360" w:lineRule="auto"/>
        <w:ind w:left="420" w:leftChars="0" w:hanging="420" w:firstLineChars="0"/>
        <w:jc w:val="left"/>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额外服务：行程以外的额外服务或个人要求的特殊安排。</w:t>
      </w:r>
    </w:p>
    <w:p w14:paraId="7669B3F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center"/>
        <w:rPr>
          <w:rFonts w:hint="eastAsia" w:ascii="PingFang HK Regular" w:hAnsi="PingFang HK Regular" w:eastAsia="PingFang HK Regular" w:cs="PingFang HK Regular"/>
          <w:i w:val="0"/>
          <w:iCs w:val="0"/>
          <w:color w:val="auto"/>
          <w:kern w:val="0"/>
          <w:sz w:val="24"/>
          <w:szCs w:val="24"/>
          <w:u w:val="none"/>
          <w:lang w:val="en-US" w:eastAsia="zh-CN" w:bidi="ar"/>
        </w:rPr>
      </w:pPr>
    </w:p>
    <w:p w14:paraId="26B0C69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center"/>
        <w:rPr>
          <w:rFonts w:hint="eastAsia" w:ascii="PingFang HK Regular" w:hAnsi="PingFang HK Regular" w:eastAsia="PingFang HK Regular" w:cs="PingFang HK Regular"/>
          <w:i w:val="0"/>
          <w:iCs w:val="0"/>
          <w:color w:val="auto"/>
          <w:kern w:val="0"/>
          <w:sz w:val="24"/>
          <w:szCs w:val="24"/>
          <w:u w:val="none"/>
          <w:lang w:val="en-US" w:eastAsia="zh-CN" w:bidi="ar"/>
        </w:rPr>
      </w:pPr>
      <w:bookmarkStart w:id="0" w:name="_GoBack"/>
      <w:bookmarkEnd w:id="0"/>
    </w:p>
    <w:p w14:paraId="6D68666D">
      <w:pPr>
        <w:keepNext w:val="0"/>
        <w:keepLines w:val="0"/>
        <w:widowControl/>
        <w:suppressLineNumbers w:val="0"/>
        <w:jc w:val="left"/>
        <w:rPr>
          <w:rFonts w:hint="default" w:ascii="PingFang HK Regular" w:hAnsi="PingFang HK Regular" w:eastAsia="PingFang HK Regular" w:cs="PingFang HK Regular"/>
          <w:b w:val="0"/>
          <w:i w:val="0"/>
          <w:iCs w:val="0"/>
          <w:caps w:val="0"/>
          <w:color w:val="000000" w:themeColor="text1"/>
          <w:spacing w:val="0"/>
          <w:kern w:val="0"/>
          <w:sz w:val="24"/>
          <w:szCs w:val="24"/>
          <w:u w:val="none"/>
          <w:lang w:val="en-US" w:eastAsia="zh-Hans"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联系人</w:t>
      </w: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eastAsia="zh-CN" w:bidi="ar"/>
          <w14:textFill>
            <w14:solidFill>
              <w14:schemeClr w14:val="tx1"/>
            </w14:solidFill>
          </w14:textFill>
        </w:rPr>
        <w:t>：Amanda</w:t>
      </w:r>
    </w:p>
    <w:p w14:paraId="276ACB8F">
      <w:pPr>
        <w:keepNext w:val="0"/>
        <w:keepLines w:val="0"/>
        <w:widowControl/>
        <w:suppressLineNumbers w:val="0"/>
        <w:jc w:val="left"/>
        <w:rPr>
          <w:rFonts w:hint="default" w:ascii="PingFang HK Regular" w:hAnsi="PingFang HK Regular" w:eastAsia="宋体"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Hans" w:bidi="ar"/>
          <w14:textFill>
            <w14:solidFill>
              <w14:schemeClr w14:val="tx1"/>
            </w14:solidFill>
          </w14:textFill>
        </w:rPr>
        <w:t>微信号</w:t>
      </w: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eastAsia="zh-Hans" w:bidi="ar"/>
          <w14:textFill>
            <w14:solidFill>
              <w14:schemeClr w14:val="tx1"/>
            </w14:solidFill>
          </w14:textFill>
        </w:rPr>
        <w:t>：</w:t>
      </w:r>
      <w:r>
        <w:rPr>
          <w:rFonts w:hint="eastAsia" w:ascii="PingFang HK Regular" w:hAnsi="PingFang HK Regular" w:eastAsia="PingFang HK Regular" w:cs="PingFang HK Regular"/>
          <w:b w:val="0"/>
          <w:i w:val="0"/>
          <w:iCs w:val="0"/>
          <w:caps w:val="0"/>
          <w:color w:val="000000" w:themeColor="text1"/>
          <w:spacing w:val="0"/>
          <w:kern w:val="0"/>
          <w:sz w:val="24"/>
          <w:szCs w:val="24"/>
          <w:u w:val="none"/>
          <w:lang w:val="en-US" w:eastAsia="zh-Hans" w:bidi="ar"/>
          <w14:textFill>
            <w14:solidFill>
              <w14:schemeClr w14:val="tx1"/>
            </w14:solidFill>
          </w14:textFill>
        </w:rPr>
        <w:t>flxs</w:t>
      </w:r>
      <w:r>
        <w:rPr>
          <w:rFonts w:hint="eastAsia" w:ascii="PingFang HK Regular" w:hAnsi="PingFang HK Regular" w:eastAsia="宋体" w:cs="PingFang HK Regular"/>
          <w:b w:val="0"/>
          <w:i w:val="0"/>
          <w:iCs w:val="0"/>
          <w:caps w:val="0"/>
          <w:color w:val="000000" w:themeColor="text1"/>
          <w:spacing w:val="0"/>
          <w:kern w:val="0"/>
          <w:sz w:val="24"/>
          <w:szCs w:val="24"/>
          <w:u w:val="none"/>
          <w:lang w:val="en-US" w:eastAsia="zh-CN" w:bidi="ar"/>
          <w14:textFill>
            <w14:solidFill>
              <w14:schemeClr w14:val="tx1"/>
            </w14:solidFill>
          </w14:textFill>
        </w:rPr>
        <w:t>987</w:t>
      </w:r>
    </w:p>
    <w:p w14:paraId="190AC2C6">
      <w:pPr>
        <w:keepNext w:val="0"/>
        <w:keepLines w:val="0"/>
        <w:widowControl/>
        <w:suppressLineNumbers w:val="0"/>
        <w:jc w:val="left"/>
        <w:rPr>
          <w:rFonts w:hint="default" w:ascii="PingFang HK Regular" w:hAnsi="PingFang HK Regular" w:eastAsia="宋体" w:cs="PingFang HK Regular"/>
          <w:b w:val="0"/>
          <w:i w:val="0"/>
          <w:iCs w:val="0"/>
          <w:caps w:val="0"/>
          <w:color w:val="000000" w:themeColor="text1"/>
          <w:spacing w:val="0"/>
          <w:kern w:val="0"/>
          <w:sz w:val="24"/>
          <w:szCs w:val="24"/>
          <w:u w:val="none"/>
          <w:lang w:val="en-US" w:eastAsia="zh-CN" w:bidi="ar"/>
          <w14:textFill>
            <w14:solidFill>
              <w14:schemeClr w14:val="tx1"/>
            </w14:solidFill>
          </w14:textFill>
        </w:rPr>
      </w:pPr>
    </w:p>
    <w:p w14:paraId="1AEEB59C">
      <w:pPr>
        <w:keepNext w:val="0"/>
        <w:keepLines w:val="0"/>
        <w:widowControl/>
        <w:suppressLineNumbers w:val="0"/>
        <w:ind w:left="0" w:firstLine="0"/>
        <w:jc w:val="left"/>
        <w:rPr>
          <w:rFonts w:hint="eastAsia" w:ascii="PingFang HK Regular" w:hAnsi="PingFang HK Regular" w:eastAsia="PingFang HK Regular" w:cs="PingFang HK Regular"/>
          <w:i/>
          <w:iCs/>
          <w:color w:val="F54A45"/>
          <w:position w:val="14"/>
          <w:sz w:val="24"/>
          <w:szCs w:val="24"/>
          <w:lang w:val="en-US" w:eastAsia="zh-CN"/>
        </w:rPr>
      </w:pPr>
      <w:r>
        <w:drawing>
          <wp:inline distT="0" distB="0" distL="114300" distR="114300">
            <wp:extent cx="2065020" cy="2095500"/>
            <wp:effectExtent l="0" t="0" r="1778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065020" cy="2095500"/>
                    </a:xfrm>
                    <a:prstGeom prst="rect">
                      <a:avLst/>
                    </a:prstGeom>
                    <a:noFill/>
                    <a:ln>
                      <a:noFill/>
                    </a:ln>
                  </pic:spPr>
                </pic:pic>
              </a:graphicData>
            </a:graphic>
          </wp:inline>
        </w:drawing>
      </w:r>
    </w:p>
    <w:p w14:paraId="7C72A77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center"/>
        <w:rPr>
          <w:rFonts w:hint="eastAsia" w:ascii="PingFang HK Semibold" w:hAnsi="PingFang HK Semibold" w:eastAsia="PingFang HK Semibold" w:cs="PingFang HK Semibold"/>
          <w:b/>
          <w:bCs/>
          <w:i w:val="0"/>
          <w:iCs w:val="0"/>
          <w:color w:val="auto"/>
          <w:kern w:val="0"/>
          <w:sz w:val="24"/>
          <w:szCs w:val="24"/>
          <w:u w:val="none"/>
          <w:lang w:val="en-US" w:eastAsia="zh-CN" w:bidi="ar"/>
        </w:rPr>
      </w:pPr>
    </w:p>
    <w:p w14:paraId="351671DA">
      <w:pPr>
        <w:pStyle w:val="2"/>
        <w:spacing w:before="146" w:line="407" w:lineRule="exact"/>
        <w:jc w:val="left"/>
        <w:rPr>
          <w:rFonts w:hint="eastAsia" w:ascii="PingFang HK Regular" w:hAnsi="PingFang HK Regular" w:eastAsia="PingFang HK Regular" w:cs="PingFang HK Regular"/>
          <w:i/>
          <w:iCs/>
          <w:color w:val="F54A45"/>
          <w:position w:val="14"/>
          <w:sz w:val="24"/>
          <w:szCs w:val="24"/>
          <w:lang w:val="en-US" w:eastAsia="zh-CN"/>
        </w:rPr>
        <w:sectPr>
          <w:pgSz w:w="11906" w:h="16839"/>
          <w:pgMar w:top="1429" w:right="955" w:bottom="225" w:left="955" w:header="0" w:footer="0" w:gutter="0"/>
          <w:cols w:space="720" w:num="1"/>
        </w:sectPr>
      </w:pPr>
    </w:p>
    <w:p w14:paraId="0F05D0A5">
      <w:pPr>
        <w:rPr>
          <w:rFonts w:hint="eastAsia" w:ascii="PingFang HK Semibold" w:hAnsi="PingFang HK Semibold" w:eastAsia="宋体" w:cs="PingFang HK Semibold"/>
          <w:b/>
          <w:bCs/>
          <w:sz w:val="24"/>
          <w:szCs w:val="24"/>
          <w:u w:val="none"/>
          <w:lang w:val="en-US" w:eastAsia="zh-CN"/>
        </w:rPr>
      </w:pPr>
      <w:r>
        <w:rPr>
          <w:rFonts w:hint="eastAsia" w:ascii="PingFang HK Semibold" w:hAnsi="PingFang HK Semibold" w:eastAsia="宋体" w:cs="PingFang HK Semibold"/>
          <w:b/>
          <w:bCs/>
          <w:sz w:val="24"/>
          <w:szCs w:val="24"/>
          <w:u w:val="none"/>
          <w:lang w:val="en-US" w:eastAsia="zh-CN"/>
        </w:rPr>
        <w:t>附</w:t>
      </w:r>
    </w:p>
    <w:p w14:paraId="601F4C4B">
      <w:pPr>
        <w:rPr>
          <w:rFonts w:hint="eastAsia" w:ascii="PingFang HK Semibold" w:hAnsi="PingFang HK Semibold" w:eastAsia="PingFang HK Semibold" w:cs="PingFang HK Semibold"/>
          <w:b/>
          <w:bCs/>
          <w:sz w:val="24"/>
          <w:szCs w:val="24"/>
          <w:u w:val="none"/>
          <w:lang w:val="en-US"/>
        </w:rPr>
      </w:pPr>
      <w:r>
        <w:rPr>
          <w:rFonts w:hint="eastAsia" w:ascii="PingFang HK Semibold" w:hAnsi="PingFang HK Semibold" w:eastAsia="PingFang HK Semibold" w:cs="PingFang HK Semibold"/>
          <w:b/>
          <w:bCs/>
          <w:sz w:val="24"/>
          <w:szCs w:val="24"/>
          <w:u w:val="none"/>
          <w:lang w:val="en-US"/>
        </w:rPr>
        <w:t>法律先生介紹：</w:t>
      </w:r>
    </w:p>
    <w:p w14:paraId="487EBDA2">
      <w:pPr>
        <w:rPr>
          <w:rFonts w:hint="eastAsia" w:ascii="PingFang HK Semibold" w:hAnsi="PingFang HK Semibold" w:eastAsia="PingFang HK Semibold" w:cs="PingFang HK Semibold"/>
          <w:b/>
          <w:bCs/>
          <w:sz w:val="24"/>
          <w:szCs w:val="24"/>
          <w:u w:val="single"/>
          <w:lang w:val="en-US"/>
        </w:rPr>
      </w:pPr>
    </w:p>
    <w:p w14:paraId="530B5236">
      <w:pPr>
        <w:rPr>
          <w:rFonts w:hint="default" w:ascii="PingFang HK Regular" w:hAnsi="PingFang HK Regular" w:eastAsia="PingFang HK Regular" w:cs="PingFang HK Regular"/>
          <w:sz w:val="24"/>
          <w:szCs w:val="24"/>
          <w:lang w:val="en-US" w:eastAsia="zh-CN"/>
        </w:rPr>
      </w:pPr>
      <w:r>
        <w:rPr>
          <w:rFonts w:hint="default" w:ascii="PingFang HK Regular" w:hAnsi="PingFang HK Regular" w:eastAsia="PingFang HK Regular" w:cs="PingFang HK Regular"/>
          <w:sz w:val="24"/>
          <w:szCs w:val="24"/>
          <w:lang w:val="en-US" w:eastAsia="zh-CN"/>
        </w:rPr>
        <w:t>自2014年开始创立「法律先生」平台，致力于打造全球法律服务协作平台、法律经济国际交流平台、涉外人才培训平台，以及企业出海服务中心。</w:t>
      </w:r>
    </w:p>
    <w:p w14:paraId="03C77192">
      <w:pPr>
        <w:rPr>
          <w:rFonts w:hint="default" w:ascii="PingFang HK Regular" w:hAnsi="PingFang HK Regular" w:eastAsia="PingFang HK Regular" w:cs="PingFang HK Regular"/>
          <w:sz w:val="24"/>
          <w:szCs w:val="24"/>
          <w:lang w:val="en-US" w:eastAsia="zh-CN"/>
        </w:rPr>
      </w:pPr>
    </w:p>
    <w:p w14:paraId="174699B5">
      <w:pPr>
        <w:rPr>
          <w:rFonts w:hint="default" w:ascii="PingFang HK Regular" w:hAnsi="PingFang HK Regular" w:eastAsia="PingFang HK Regular" w:cs="PingFang HK Regular"/>
          <w:sz w:val="24"/>
          <w:szCs w:val="24"/>
          <w:lang w:val="en-US" w:eastAsia="zh-Hans"/>
        </w:rPr>
      </w:pPr>
      <w:r>
        <w:rPr>
          <w:rFonts w:hint="default" w:ascii="PingFang HK Regular" w:hAnsi="PingFang HK Regular" w:eastAsia="PingFang HK Regular" w:cs="PingFang HK Regular"/>
          <w:sz w:val="24"/>
          <w:szCs w:val="24"/>
          <w:lang w:val="en-US" w:eastAsia="zh-CN"/>
        </w:rPr>
        <w:t>目前，拥有大陆律师用户40多万，</w:t>
      </w:r>
      <w:r>
        <w:rPr>
          <w:rFonts w:hint="default" w:ascii="PingFang HK Regular" w:hAnsi="PingFang HK Regular" w:eastAsia="PingFang HK Regular" w:cs="PingFang HK Regular"/>
          <w:sz w:val="24"/>
          <w:szCs w:val="24"/>
          <w:lang w:val="en-US" w:eastAsia="zh-Hans"/>
        </w:rPr>
        <w:t>大陆</w:t>
      </w:r>
      <w:r>
        <w:rPr>
          <w:rFonts w:hint="default" w:ascii="PingFang HK Regular" w:hAnsi="PingFang HK Regular" w:eastAsia="PingFang HK Regular" w:cs="PingFang HK Regular"/>
          <w:sz w:val="24"/>
          <w:szCs w:val="24"/>
          <w:lang w:val="en-US" w:eastAsia="zh-CN"/>
        </w:rPr>
        <w:t>合作的律所达6000多家，</w:t>
      </w:r>
      <w:r>
        <w:rPr>
          <w:rFonts w:hint="default" w:ascii="PingFang HK Regular" w:hAnsi="PingFang HK Regular" w:eastAsia="PingFang HK Regular" w:cs="PingFang HK Regular"/>
          <w:sz w:val="24"/>
          <w:szCs w:val="24"/>
          <w:lang w:val="en-US" w:eastAsia="zh-Hans"/>
        </w:rPr>
        <w:t>海外律师5000名，海外23个国家合作的律所达900多家</w:t>
      </w:r>
      <w:r>
        <w:rPr>
          <w:rFonts w:hint="default" w:ascii="PingFang HK Regular" w:hAnsi="PingFang HK Regular" w:eastAsia="PingFang HK Regular" w:cs="PingFang HK Regular"/>
          <w:sz w:val="24"/>
          <w:szCs w:val="24"/>
          <w:lang w:val="en-US" w:eastAsia="zh-CN"/>
        </w:rPr>
        <w:t>；与境外高校的法学院，诸如</w:t>
      </w:r>
      <w:r>
        <w:rPr>
          <w:rFonts w:hint="default" w:ascii="PingFang HK Regular" w:hAnsi="PingFang HK Regular" w:eastAsia="PingFang HK Regular" w:cs="PingFang HK Regular"/>
          <w:sz w:val="24"/>
          <w:szCs w:val="24"/>
          <w:lang w:val="en-US" w:eastAsia="zh-Hans"/>
        </w:rPr>
        <w:t>香港大学、新加坡国立大学、</w:t>
      </w:r>
      <w:r>
        <w:rPr>
          <w:rFonts w:hint="default" w:ascii="PingFang HK Regular" w:hAnsi="PingFang HK Regular" w:eastAsia="PingFang HK Regular" w:cs="PingFang HK Regular"/>
          <w:sz w:val="24"/>
          <w:szCs w:val="24"/>
          <w:lang w:val="en-US" w:eastAsia="zh-CN"/>
        </w:rPr>
        <w:t>日本早稻田大学、哈佛大学、耶鲁大学、根特大学、鲁汶大学、莱顿大学、巴黎二大、罗马二大、帕多瓦大学、博洛尼亚大学等展开过各种专项的高阶课程与深度合作；</w:t>
      </w:r>
      <w:r>
        <w:rPr>
          <w:rFonts w:hint="default" w:ascii="PingFang HK Regular" w:hAnsi="PingFang HK Regular" w:eastAsia="PingFang HK Regular" w:cs="PingFang HK Regular"/>
          <w:sz w:val="24"/>
          <w:szCs w:val="24"/>
          <w:lang w:val="en-US" w:eastAsia="zh-Hans"/>
        </w:rPr>
        <w:t>其中，在香港大学法律学院开设的涉外人才高阶培训，已经举行过</w:t>
      </w:r>
      <w:r>
        <w:rPr>
          <w:rFonts w:hint="default" w:ascii="PingFang HK Regular" w:hAnsi="PingFang HK Regular" w:eastAsia="PingFang HK Regular" w:cs="PingFang HK Regular"/>
          <w:sz w:val="24"/>
          <w:szCs w:val="24"/>
          <w:lang w:val="en-US" w:eastAsia="zh-CN"/>
        </w:rPr>
        <w:t>23</w:t>
      </w:r>
      <w:r>
        <w:rPr>
          <w:rFonts w:hint="default" w:ascii="PingFang HK Regular" w:hAnsi="PingFang HK Regular" w:eastAsia="PingFang HK Regular" w:cs="PingFang HK Regular"/>
          <w:sz w:val="24"/>
          <w:szCs w:val="24"/>
          <w:lang w:val="en-US" w:eastAsia="zh-Hans"/>
        </w:rPr>
        <w:t>期，受到两地</w:t>
      </w:r>
      <w:r>
        <w:rPr>
          <w:rFonts w:hint="default" w:ascii="PingFang HK Regular" w:hAnsi="PingFang HK Regular" w:eastAsia="PingFang HK Regular" w:cs="PingFang HK Regular"/>
          <w:sz w:val="24"/>
          <w:szCs w:val="24"/>
          <w:lang w:val="en-US" w:eastAsia="zh-CN"/>
        </w:rPr>
        <w:t>企业界与法律界的广泛</w:t>
      </w:r>
      <w:r>
        <w:rPr>
          <w:rFonts w:hint="default" w:ascii="PingFang HK Regular" w:hAnsi="PingFang HK Regular" w:eastAsia="PingFang HK Regular" w:cs="PingFang HK Regular"/>
          <w:sz w:val="24"/>
          <w:szCs w:val="24"/>
          <w:lang w:val="en-US" w:eastAsia="zh-Hans"/>
        </w:rPr>
        <w:t>好评。</w:t>
      </w:r>
    </w:p>
    <w:p w14:paraId="2D41F839">
      <w:pPr>
        <w:rPr>
          <w:rFonts w:hint="default" w:ascii="PingFang HK Regular" w:hAnsi="PingFang HK Regular" w:eastAsia="PingFang HK Regular" w:cs="PingFang HK Regular"/>
          <w:sz w:val="24"/>
          <w:szCs w:val="24"/>
          <w:lang w:val="en-US" w:eastAsia="zh-Hans"/>
        </w:rPr>
      </w:pPr>
    </w:p>
    <w:p w14:paraId="146EDF6C">
      <w:pPr>
        <w:rPr>
          <w:rFonts w:hint="default" w:ascii="PingFang HK Regular" w:hAnsi="PingFang HK Regular" w:eastAsia="PingFang HK Regular" w:cs="PingFang HK Regular"/>
          <w:sz w:val="24"/>
          <w:szCs w:val="24"/>
          <w:lang w:val="en-US" w:eastAsia="zh-CN"/>
        </w:rPr>
      </w:pPr>
      <w:r>
        <w:rPr>
          <w:rFonts w:hint="default" w:ascii="PingFang HK Regular" w:hAnsi="PingFang HK Regular" w:eastAsia="PingFang HK Regular" w:cs="PingFang HK Regular"/>
          <w:sz w:val="24"/>
          <w:szCs w:val="24"/>
          <w:lang w:val="en-US" w:eastAsia="zh-Hans"/>
        </w:rPr>
        <w:t>与此</w:t>
      </w:r>
      <w:r>
        <w:rPr>
          <w:rFonts w:hint="default" w:ascii="PingFang HK Regular" w:hAnsi="PingFang HK Regular" w:eastAsia="PingFang HK Regular" w:cs="PingFang HK Regular"/>
          <w:sz w:val="24"/>
          <w:szCs w:val="24"/>
          <w:lang w:val="en-US" w:eastAsia="zh-CN"/>
        </w:rPr>
        <w:t>同时，我们在海外主办了各项专门主题的大型法律经济论坛数十场，如自2015年开始每年在荷兰海牙国际法庭举办中欧法律经济高峰论坛、自2016年开始在联合国总部举办中美法律经济高峰论坛等。此外，</w:t>
      </w:r>
      <w:r>
        <w:rPr>
          <w:rFonts w:hint="default" w:ascii="PingFang HK Regular" w:hAnsi="PingFang HK Regular" w:eastAsia="PingFang HK Regular" w:cs="PingFang HK Regular"/>
          <w:sz w:val="24"/>
          <w:szCs w:val="24"/>
          <w:lang w:val="en-US" w:eastAsia="zh-Hans"/>
        </w:rPr>
        <w:t>在</w:t>
      </w:r>
      <w:r>
        <w:rPr>
          <w:rFonts w:hint="default" w:ascii="PingFang HK Regular" w:hAnsi="PingFang HK Regular" w:eastAsia="PingFang HK Regular" w:cs="PingFang HK Regular"/>
          <w:sz w:val="24"/>
          <w:szCs w:val="24"/>
          <w:lang w:val="en-US" w:eastAsia="zh-CN"/>
        </w:rPr>
        <w:t>胡志明、河内、雅加达、新加坡、</w:t>
      </w:r>
      <w:r>
        <w:rPr>
          <w:rFonts w:hint="default" w:ascii="PingFang HK Regular" w:hAnsi="PingFang HK Regular" w:eastAsia="PingFang HK Regular" w:cs="PingFang HK Regular"/>
          <w:sz w:val="24"/>
          <w:szCs w:val="24"/>
          <w:lang w:val="en-US" w:eastAsia="zh-Hans"/>
        </w:rPr>
        <w:t>布鲁塞尔、安特卫普、鹿特丹、维也纳、东京、法兰克福、罗马等地举办过专项</w:t>
      </w:r>
      <w:r>
        <w:rPr>
          <w:rFonts w:hint="default" w:ascii="PingFang HK Regular" w:hAnsi="PingFang HK Regular" w:eastAsia="PingFang HK Regular" w:cs="PingFang HK Regular"/>
          <w:sz w:val="24"/>
          <w:szCs w:val="24"/>
          <w:lang w:val="en-US" w:eastAsia="zh-CN"/>
        </w:rPr>
        <w:t>法律经济论坛等，引起了</w:t>
      </w:r>
      <w:r>
        <w:rPr>
          <w:rFonts w:hint="default" w:ascii="PingFang HK Regular" w:hAnsi="PingFang HK Regular" w:eastAsia="PingFang HK Regular" w:cs="PingFang HK Regular"/>
          <w:sz w:val="24"/>
          <w:szCs w:val="24"/>
          <w:lang w:val="en-US" w:eastAsia="zh-Hans"/>
        </w:rPr>
        <w:t>欧美法律、经济界</w:t>
      </w:r>
      <w:r>
        <w:rPr>
          <w:rFonts w:hint="default" w:ascii="PingFang HK Regular" w:hAnsi="PingFang HK Regular" w:eastAsia="PingFang HK Regular" w:cs="PingFang HK Regular"/>
          <w:sz w:val="24"/>
          <w:szCs w:val="24"/>
          <w:lang w:val="en-US" w:eastAsia="zh-CN"/>
        </w:rPr>
        <w:t>的良好反应，均获得了良好的社会效果。……（在2020年疫情之初，我们通过我们的海外资源，从海外采购，并全部捐赠了共计捐赠了189.58万只、一次性医用手套3万只、防护服875套）。</w:t>
      </w:r>
    </w:p>
    <w:p w14:paraId="460E3C56">
      <w:pPr>
        <w:rPr>
          <w:rFonts w:hint="default" w:ascii="PingFang HK Regular" w:hAnsi="PingFang HK Regular" w:eastAsia="PingFang HK Regular" w:cs="PingFang HK Regular"/>
          <w:sz w:val="24"/>
          <w:szCs w:val="24"/>
          <w:lang w:val="en-US" w:eastAsia="zh-Hans"/>
        </w:rPr>
      </w:pPr>
    </w:p>
    <w:p w14:paraId="2477B0FC">
      <w:pPr>
        <w:rPr>
          <w:rFonts w:hint="default" w:ascii="PingFang HK Regular" w:hAnsi="PingFang HK Regular" w:eastAsia="PingFang HK Regular" w:cs="PingFang HK Regular"/>
          <w:sz w:val="24"/>
          <w:szCs w:val="24"/>
          <w:lang w:val="en-US" w:eastAsia="zh-CN"/>
        </w:rPr>
      </w:pPr>
      <w:r>
        <w:rPr>
          <w:rFonts w:hint="default" w:ascii="PingFang HK Regular" w:hAnsi="PingFang HK Regular" w:eastAsia="PingFang HK Regular" w:cs="PingFang HK Regular"/>
          <w:sz w:val="24"/>
          <w:szCs w:val="24"/>
          <w:lang w:val="en-US" w:eastAsia="zh-CN"/>
        </w:rPr>
        <w:t>我们通过全球律师协作网络，开始建设独立的出海服务中心，在东京、香港、新加坡、胡志明、雅加达、迪拜、巴黎、鹿特丹等地建设和运营</w:t>
      </w:r>
      <w:r>
        <w:rPr>
          <w:rFonts w:hint="eastAsia" w:ascii="PingFang HK Semibold" w:hAnsi="PingFang HK Semibold" w:eastAsia="PingFang HK Semibold" w:cs="PingFang HK Semibold"/>
          <w:b/>
          <w:bCs/>
          <w:sz w:val="24"/>
          <w:szCs w:val="24"/>
          <w:lang w:val="en-US" w:eastAsia="zh-CN"/>
        </w:rPr>
        <w:t>法律先生出海服务中心</w:t>
      </w:r>
      <w:r>
        <w:rPr>
          <w:rFonts w:hint="default" w:ascii="PingFang HK Regular" w:hAnsi="PingFang HK Regular" w:eastAsia="PingFang HK Regular" w:cs="PingFang HK Regular"/>
          <w:sz w:val="24"/>
          <w:szCs w:val="24"/>
          <w:lang w:val="en-US" w:eastAsia="zh-CN"/>
        </w:rPr>
        <w:t>，为中国企业出海提供综合的，从法律、税务、金融、政治、资源对接等一揽子服务解决方案。</w:t>
      </w:r>
    </w:p>
    <w:p w14:paraId="6D63BBDE">
      <w:pPr>
        <w:rPr>
          <w:rFonts w:hint="default" w:ascii="PingFang HK Regular" w:hAnsi="PingFang HK Regular" w:eastAsia="PingFang HK Regular" w:cs="PingFang HK Regular"/>
          <w:sz w:val="24"/>
          <w:szCs w:val="24"/>
          <w:lang w:val="en-US"/>
        </w:rPr>
      </w:pPr>
    </w:p>
    <w:p w14:paraId="57FB922D"/>
    <w:sectPr>
      <w:pgSz w:w="11906" w:h="16838"/>
      <w:pgMar w:top="1429" w:right="952" w:bottom="0" w:left="952"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applesystemuifon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PingFang HK Regular">
    <w:panose1 w:val="020B0400000000000000"/>
    <w:charset w:val="88"/>
    <w:family w:val="auto"/>
    <w:pitch w:val="default"/>
    <w:sig w:usb0="A00002FF" w:usb1="7ACFFDFB" w:usb2="00000017" w:usb3="00000000" w:csb0="00100001" w:csb1="00000000"/>
  </w:font>
  <w:font w:name="PingFang HK Semibold">
    <w:panose1 w:val="020B0400000000000000"/>
    <w:charset w:val="88"/>
    <w:family w:val="auto"/>
    <w:pitch w:val="default"/>
    <w:sig w:usb0="A00002FF" w:usb1="7ACFFDFB" w:usb2="00000017" w:usb3="00000000" w:csb0="00100001" w:csb1="00000000"/>
  </w:font>
  <w:font w:name="PingFang HK">
    <w:panose1 w:val="020B0400000000000000"/>
    <w:charset w:val="88"/>
    <w:family w:val="auto"/>
    <w:pitch w:val="default"/>
    <w:sig w:usb0="A00002FF" w:usb1="7ACFFDFB" w:usb2="00000017" w:usb3="00000000" w:csb0="00100001"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F685FA"/>
    <w:multiLevelType w:val="singleLevel"/>
    <w:tmpl w:val="BDF685FA"/>
    <w:lvl w:ilvl="0" w:tentative="0">
      <w:start w:val="7"/>
      <w:numFmt w:val="decimal"/>
      <w:suff w:val="nothing"/>
      <w:lvlText w:val="%1、"/>
      <w:lvlJc w:val="left"/>
    </w:lvl>
  </w:abstractNum>
  <w:abstractNum w:abstractNumId="1">
    <w:nsid w:val="BFED6BAB"/>
    <w:multiLevelType w:val="singleLevel"/>
    <w:tmpl w:val="BFED6BAB"/>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AD97C0"/>
    <w:rsid w:val="0DBB2DDD"/>
    <w:rsid w:val="35EF5B8B"/>
    <w:rsid w:val="5EB8E444"/>
    <w:rsid w:val="71FD947C"/>
    <w:rsid w:val="775FD3DC"/>
    <w:rsid w:val="7BAF51B1"/>
    <w:rsid w:val="BF6F17B2"/>
    <w:rsid w:val="D7F5FDDC"/>
    <w:rsid w:val="DF1C6789"/>
    <w:rsid w:val="DFEFAAB7"/>
    <w:rsid w:val="F3FE931E"/>
    <w:rsid w:val="F3FF24AC"/>
    <w:rsid w:val="F5EAB937"/>
    <w:rsid w:val="FDAD97C0"/>
    <w:rsid w:val="FDB1928E"/>
    <w:rsid w:val="FFFB30EC"/>
    <w:rsid w:val="FFFC51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2"/>
      <w:szCs w:val="22"/>
      <w:lang w:val="en-US" w:eastAsia="en-US" w:bidi="ar-SA"/>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Table Text"/>
    <w:basedOn w:val="1"/>
    <w:semiHidden/>
    <w:qFormat/>
    <w:uiPriority w:val="0"/>
    <w:rPr>
      <w:rFonts w:ascii="微软雅黑" w:hAnsi="微软雅黑" w:eastAsia="微软雅黑" w:cs="微软雅黑"/>
      <w:sz w:val="22"/>
      <w:szCs w:val="22"/>
      <w:lang w:val="en-US" w:eastAsia="en-US" w:bidi="ar-SA"/>
    </w:r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p1"/>
    <w:basedOn w:val="1"/>
    <w:uiPriority w:val="0"/>
    <w:pPr>
      <w:spacing w:before="0" w:beforeAutospacing="0" w:after="0" w:afterAutospacing="0"/>
      <w:ind w:left="0" w:right="0"/>
      <w:jc w:val="left"/>
    </w:pPr>
    <w:rPr>
      <w:rFonts w:ascii=".applesystemuifont" w:hAnsi=".applesystemuifont" w:eastAsia=".applesystemuifont" w:cs=".applesystemuifont"/>
      <w:color w:val="0E0E0E"/>
      <w:kern w:val="0"/>
      <w:sz w:val="26"/>
      <w:szCs w:val="26"/>
      <w:lang w:val="en-US" w:eastAsia="zh-CN" w:bidi="ar"/>
    </w:rPr>
  </w:style>
  <w:style w:type="character" w:customStyle="1" w:styleId="10">
    <w:name w:val="apple-tab-span"/>
    <w:basedOn w:val="5"/>
    <w:uiPriority w:val="0"/>
  </w:style>
  <w:style w:type="paragraph" w:customStyle="1" w:styleId="11">
    <w:name w:val="p4"/>
    <w:basedOn w:val="1"/>
    <w:uiPriority w:val="0"/>
    <w:pPr>
      <w:spacing w:before="240" w:beforeAutospacing="0" w:after="0" w:afterAutospacing="0"/>
      <w:ind w:left="260" w:right="0" w:hanging="260"/>
      <w:jc w:val="left"/>
    </w:pPr>
    <w:rPr>
      <w:rFonts w:ascii=".applesystemuifont" w:hAnsi=".applesystemuifont" w:eastAsia=".applesystemuifont" w:cs=".applesystemuifont"/>
      <w:color w:val="0E0E0E"/>
      <w:kern w:val="0"/>
      <w:sz w:val="28"/>
      <w:szCs w:val="28"/>
      <w:lang w:val="en-US" w:eastAsia="zh-CN" w:bidi="ar"/>
    </w:rPr>
  </w:style>
  <w:style w:type="paragraph" w:customStyle="1" w:styleId="12">
    <w:name w:val="p3"/>
    <w:basedOn w:val="1"/>
    <w:uiPriority w:val="0"/>
    <w:pPr>
      <w:spacing w:before="0" w:beforeAutospacing="0" w:after="0" w:afterAutospacing="0"/>
      <w:ind w:left="0" w:right="0"/>
      <w:jc w:val="left"/>
    </w:pPr>
    <w:rPr>
      <w:rFonts w:hint="default" w:ascii=".applesystemuifont" w:hAnsi=".applesystemuifont" w:eastAsia=".applesystemuifont" w:cs=".applesystemuifont"/>
      <w:color w:val="0E0E0E"/>
      <w:kern w:val="0"/>
      <w:sz w:val="28"/>
      <w:szCs w:val="28"/>
      <w:lang w:val="en-US" w:eastAsia="zh-CN" w:bidi="ar"/>
    </w:rPr>
  </w:style>
  <w:style w:type="paragraph" w:customStyle="1" w:styleId="13">
    <w:name w:val="p2"/>
    <w:basedOn w:val="1"/>
    <w:uiPriority w:val="0"/>
    <w:pPr>
      <w:spacing w:before="0" w:beforeAutospacing="0" w:after="0" w:afterAutospacing="0"/>
      <w:ind w:left="0" w:right="0"/>
      <w:jc w:val="left"/>
    </w:pPr>
    <w:rPr>
      <w:rFonts w:hint="default" w:ascii=".applesystemuifont" w:hAnsi=".applesystemuifont" w:eastAsia=".applesystemuifont" w:cs=".applesystemuifont"/>
      <w:color w:val="0E0E0E"/>
      <w:kern w:val="0"/>
      <w:sz w:val="28"/>
      <w:szCs w:val="28"/>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40</TotalTime>
  <ScaleCrop>false</ScaleCrop>
  <LinksUpToDate>false</LinksUpToDate>
  <CharactersWithSpaces>0</CharactersWithSpaces>
  <Application>WPS Office_12.1.25195.25195_F1E327BC-269C-435d-A152-05C5408002CA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2024-04-30T07:11:00Z</dcterms:created>
  <dc:creator>小蔡娃儿</dc:creator>
  <cp:lastModifiedBy>xiya</cp:lastModifiedBy>
  <dcterms:modified xsi:type="dcterms:W3CDTF">2026-02-05T14:59:41Z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E209F465DA7FA081DD3F8469CAE691A4_43</vt:lpwstr>
  </property>
</Properties>
</file>