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Banking 答辩PPT制作指南</w:t>
      </w:r>
    </w:p>
    <w:p>
      <w:pPr>
        <w:pStyle w:val="Subtitle"/>
      </w:pPr>
      <w:r>
        <w:t>逐页配文 配图与讲稿</w:t>
      </w:r>
    </w:p>
    <w:p>
      <w:r>
        <w:t>本指南交给后续PPT制作Agent使用。建议制作10页16比9答辩幻灯片，目标讲解8分40秒，预留1分20秒缓冲。逐页内容已经给出可直接使用的配文、讲稿、布局及素材位置。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423513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513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使用顺序</w:t>
      </w:r>
    </w:p>
    <w:p>
      <w:r>
        <w:t>先阅读本页与视觉规范，再按第01至10页制作。slides.json提供相同的结构化内容。所有素材位于assets目录，路径均相对于本指南。</w:t>
      </w:r>
    </w:p>
    <w:p>
      <w:pPr>
        <w:pStyle w:val="Heading2"/>
      </w:pPr>
      <w:r>
        <w:t>材料口径</w:t>
      </w:r>
    </w:p>
    <w:p>
      <w:r>
        <w:t>产品运行图采用独立虚构数据。涉及Agent业务闭环的截图为脚本化演示，真实工具与模拟银行执行器运行。保留该说明、模拟环境和操作状态。验证数字采用既有记录，不作为本轮新增测试或模型业务成功率。</w:t>
      </w:r>
    </w:p>
    <w:p>
      <w:r>
        <w:t>功能基线 9389868   文档版本 v1.2   整理日期 2026年10月31日</w:t>
      </w:r>
    </w:p>
    <w:p>
      <w:r>
        <w:br w:type="page"/>
      </w:r>
    </w:p>
    <w:p>
      <w:pPr>
        <w:pStyle w:val="Heading1"/>
      </w:pPr>
      <w:r>
        <w:t>视觉规范与内容节奏</w:t>
      </w:r>
    </w:p>
    <w:p>
      <w:r>
        <w:t>让截图与逻辑成为主角。采用暖白、墨蓝、黄铜和青绿色，延续产品气质；避免通篇深色科技背景、装饰光效与密集图标。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0323D"/>
          </w:tcPr>
          <w:p>
            <w:r>
              <w:rPr>
                <w:color w:val="FFFFFF"/>
                <w:sz w:val="18"/>
              </w:rPr>
              <w:t>要素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0323D"/>
          </w:tcPr>
          <w:p>
            <w:r>
              <w:rPr>
                <w:color w:val="FFFFFF"/>
                <w:sz w:val="18"/>
              </w:rPr>
              <w:t>建议值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画布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16:9  1920×1080  安全边距80px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色彩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底色 #F7F4ED  主字 #20323D  强调 #9C6A2F  成功 #2F7466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字体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中文 Microsoft YaHei  英文 Aptos或Arial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字号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标题32至40pt  正文20至24pt  图注12至14pt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密度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一页一个结论  正文最多三组  每组一至两行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图片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优先SVG重绘图表  截图原比例  保留状态与模拟标识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动效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默认静态  如使用仅淡入或逐步显现  不影响阅读</w:t>
            </w:r>
          </w:p>
        </w:tc>
      </w:tr>
    </w:tbl>
    <w:p>
      <w:pPr>
        <w:pStyle w:val="Heading2"/>
      </w:pPr>
      <w:r>
        <w:t>讲解节奏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7087"/>
        <w:gridCol w:w="1701"/>
      </w:tblGrid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0323D"/>
          </w:tcPr>
          <w:p>
            <w:r>
              <w:rPr>
                <w:color w:val="FFFFFF"/>
                <w:sz w:val="18"/>
              </w:rPr>
              <w:t>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0323D"/>
          </w:tcPr>
          <w:p>
            <w:r>
              <w:rPr>
                <w:color w:val="FFFFFF"/>
                <w:sz w:val="18"/>
              </w:rPr>
              <w:t>主题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0323D"/>
          </w:tcPr>
          <w:p>
            <w:r>
              <w:rPr>
                <w:color w:val="FFFFFF"/>
                <w:sz w:val="18"/>
              </w:rPr>
              <w:t>秒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01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产品全景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25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02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用户问题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45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03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能力地图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50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04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系统架构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65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05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账单洞察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65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06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核心业务演示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65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07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扩展场景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60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08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安全设计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65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09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验证证据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50</w:t>
            </w:r>
          </w:p>
        </w:tc>
      </w:tr>
      <w:t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10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收束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30</w:t>
            </w:r>
          </w:p>
        </w:tc>
      </w:tr>
    </w:tbl>
    <w:p>
      <w:r>
        <w:t>封面使用提交系统中的项目或团队署名；没有确定署名时仅保留项目名称。不要添加占位团队名、虚构成员、奖项、客户、营收或成功率。</w:t>
      </w:r>
    </w:p>
    <w:p>
      <w:r>
        <w:br w:type="page"/>
      </w:r>
    </w:p>
    <w:p>
      <w:pPr>
        <w:pStyle w:val="Heading1"/>
      </w:pPr>
      <w:r>
        <w:t>第01页  产品全景</w:t>
      </w:r>
    </w:p>
    <w:p>
      <w:pPr>
        <w:pStyle w:val="Heading2"/>
      </w:pPr>
      <w:r>
        <w:t>页面标题</w:t>
      </w:r>
    </w:p>
    <w:p>
      <w:r>
        <w:t>AI Banking 让金融意图有依据 让执行有边界</w:t>
      </w:r>
    </w:p>
    <w:p>
      <w:pPr>
        <w:pStyle w:val="Heading2"/>
      </w:pPr>
      <w:r>
        <w:t>上屏配文</w:t>
      </w:r>
    </w:p>
    <w:p>
      <w:r>
        <w:t>• 账单分析、订阅管理与受控转账的一体化工作台</w:t>
      </w:r>
    </w:p>
    <w:p>
      <w:r>
        <w:t>• 自然语言提出需求，后端核验权限与资金事实</w:t>
      </w:r>
    </w:p>
    <w:p>
      <w:r>
        <w:t>• 本地模拟银行原型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501798" cy="1737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1798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个人财务概览  独立虚构数据</w:t>
      </w:r>
    </w:p>
    <w:p>
      <w:pPr>
        <w:pStyle w:val="Heading2"/>
      </w:pPr>
      <w:r>
        <w:t>配图与排版</w:t>
      </w:r>
    </w:p>
    <w:p>
      <w:r>
        <w:t>主素材 assets/screenshots/02-overview.png</w:t>
      </w:r>
    </w:p>
    <w:p>
      <w:r>
        <w:t>左侧32%放项目名与一句定位，右侧62%放完整概览截图；暖白底，截图只加极淡阴影。</w:t>
      </w:r>
    </w:p>
    <w:p>
      <w:pPr>
        <w:pStyle w:val="Heading2"/>
      </w:pPr>
      <w:r>
        <w:t>讲稿参考  25秒</w:t>
      </w:r>
    </w:p>
    <w:p>
      <w:r>
        <w:t>我们做的是一个可以实际运行的个人模拟银行助手。用户可以先问清账单和对象，再决定是否办理业务，最后核对后端回执。我们把自然语言交互接入同一个工作台，并让每次资金动作都经过明确的权限和状态检查。接下来沿着一次整理账单到完成转账的路径，介绍产品与架构。</w:t>
      </w:r>
    </w:p>
    <w:p>
      <w:r>
        <w:t>内容依据  技术文档第02章；README</w:t>
      </w:r>
    </w:p>
    <w:p>
      <w:r>
        <w:br w:type="page"/>
      </w:r>
    </w:p>
    <w:p>
      <w:pPr>
        <w:pStyle w:val="Heading1"/>
      </w:pPr>
      <w:r>
        <w:t>第02页  用户问题</w:t>
      </w:r>
    </w:p>
    <w:p>
      <w:pPr>
        <w:pStyle w:val="Heading2"/>
      </w:pPr>
      <w:r>
        <w:t>页面标题</w:t>
      </w:r>
    </w:p>
    <w:p>
      <w:r>
        <w:t>金融代办需要把对象和结果核对清楚</w:t>
      </w:r>
    </w:p>
    <w:p>
      <w:pPr>
        <w:pStyle w:val="Heading2"/>
      </w:pPr>
      <w:r>
        <w:t>上屏配文</w:t>
      </w:r>
    </w:p>
    <w:p>
      <w:r>
        <w:t>• 看账单  要能展开原始流水与判断依据</w:t>
      </w:r>
    </w:p>
    <w:p>
      <w:r>
        <w:t>• 找对象  同名收款人需要备注和尾号澄清</w:t>
      </w:r>
    </w:p>
    <w:p>
      <w:r>
        <w:t>• 做操作  批准内容与最终回执分开核对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501798" cy="1737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ye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1798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同名收款人以备注和尾号区分</w:t>
      </w:r>
    </w:p>
    <w:p>
      <w:pPr>
        <w:pStyle w:val="Heading2"/>
      </w:pPr>
      <w:r>
        <w:t>配图与排版</w:t>
      </w:r>
    </w:p>
    <w:p>
      <w:r>
        <w:t>主素材 assets/screenshots/06-payees.png</w:t>
      </w:r>
    </w:p>
    <w:p>
      <w:r>
        <w:t>左侧三行问题链，右侧截取联系人列表；每行一个细线图标，不添加市场规模数字。</w:t>
      </w:r>
    </w:p>
    <w:p>
      <w:pPr>
        <w:pStyle w:val="Heading2"/>
      </w:pPr>
      <w:r>
        <w:t>讲稿参考  45秒</w:t>
      </w:r>
    </w:p>
    <w:p>
      <w:r>
        <w:t>从查询走到代办，最容易出错的是对象、依据和结果。账单解释需要回到原流水；同名收款人不能由模型随意选择；一句成功也不能替代银行状态。因此产品把查询结果、操作确认和执行回执分别呈现。图中两位张明分别带备注和尾号，用户可以在付款前确认究竟转给谁。</w:t>
      </w:r>
    </w:p>
    <w:p>
      <w:r>
        <w:t>内容依据  技术文档第02和07章；test_transfer_workflows.py</w:t>
      </w:r>
    </w:p>
    <w:p>
      <w:r>
        <w:br w:type="page"/>
      </w:r>
    </w:p>
    <w:p>
      <w:pPr>
        <w:pStyle w:val="Heading1"/>
      </w:pPr>
      <w:r>
        <w:t>第03页  能力地图</w:t>
      </w:r>
    </w:p>
    <w:p>
      <w:pPr>
        <w:pStyle w:val="Heading2"/>
      </w:pPr>
      <w:r>
        <w:t>页面标题</w:t>
      </w:r>
    </w:p>
    <w:p>
      <w:r>
        <w:t>一个工作台连接六类模拟银行场景</w:t>
      </w:r>
    </w:p>
    <w:p>
      <w:pPr>
        <w:pStyle w:val="Heading2"/>
      </w:pPr>
      <w:r>
        <w:t>上屏配文</w:t>
      </w:r>
    </w:p>
    <w:p>
      <w:r>
        <w:t>• 账单、订阅、转账支持查询与受控业务衔接</w:t>
      </w:r>
    </w:p>
    <w:p>
      <w:r>
        <w:t>• 卡片、理财与日期计划提供界面办理入口</w:t>
      </w:r>
    </w:p>
    <w:p>
      <w:r>
        <w:t>• Agent通过12个类型化工具查询或准备有限意图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776245" cy="1737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tool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6245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问题类型与12个工具的职责映射</w:t>
      </w:r>
    </w:p>
    <w:p>
      <w:pPr>
        <w:pStyle w:val="Heading2"/>
      </w:pPr>
      <w:r>
        <w:t>配图与排版</w:t>
      </w:r>
    </w:p>
    <w:p>
      <w:r>
        <w:t>主素材 assets/diagrams/agent-tool-map.png</w:t>
      </w:r>
    </w:p>
    <w:p>
      <w:r>
        <w:t>优先将工具图重绘为六张可编辑卡片；三列两行，标记查询、意图准备、界面办理三种入口。图中文字不要整图缩到不可读。</w:t>
      </w:r>
    </w:p>
    <w:p>
      <w:pPr>
        <w:pStyle w:val="Heading2"/>
      </w:pPr>
      <w:r>
        <w:t>讲稿参考  50秒</w:t>
      </w:r>
    </w:p>
    <w:p>
      <w:r>
        <w:t>工作台覆盖账单、订阅、转账，以及模拟卡片、理财和日期计划。这里区分产品能力和模型权限：Agent可以组合12个类型化工具查询数据，或准备转账和订阅取消意图。卡片、理财和日期计划的写操作由用户在界面发起，模型负责查询与解释。每个入口的边界都与后端能力保持一致。</w:t>
      </w:r>
    </w:p>
    <w:p>
      <w:r>
        <w:t>内容依据  技术文档第04和07至08章；agent.py SYSTEM</w:t>
      </w:r>
    </w:p>
    <w:p>
      <w:r>
        <w:br w:type="page"/>
      </w:r>
    </w:p>
    <w:p>
      <w:pPr>
        <w:pStyle w:val="Heading1"/>
      </w:pPr>
      <w:r>
        <w:t>第04页  系统架构</w:t>
      </w:r>
    </w:p>
    <w:p>
      <w:pPr>
        <w:pStyle w:val="Heading2"/>
      </w:pPr>
      <w:r>
        <w:t>页面标题</w:t>
      </w:r>
    </w:p>
    <w:p>
      <w:r>
        <w:t>模型提出意图 后端逐次复核再执行</w:t>
      </w:r>
    </w:p>
    <w:p>
      <w:pPr>
        <w:pStyle w:val="Heading2"/>
      </w:pPr>
      <w:r>
        <w:t>上屏配文</w:t>
      </w:r>
    </w:p>
    <w:p>
      <w:r>
        <w:t>• 同源Web与FastAPI绑定用户身份和会话</w:t>
      </w:r>
    </w:p>
    <w:p>
      <w:r>
        <w:t>• 每轮装配上下文 单主Agent调用类型化工具</w:t>
      </w:r>
    </w:p>
    <w:p>
      <w:r>
        <w:t>• 确定性检查后进入SQLite事务 账本记录最终事实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265197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5197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A入口  B工具调用  C意图准备  D批准与执行</w:t>
      </w:r>
    </w:p>
    <w:p>
      <w:pPr>
        <w:pStyle w:val="Heading2"/>
      </w:pPr>
      <w:r>
        <w:t>配图与排版</w:t>
      </w:r>
    </w:p>
    <w:p>
      <w:r>
        <w:t>主素材 assets/diagrams/agent-runtime.png</w:t>
      </w:r>
    </w:p>
    <w:p>
      <w:r>
        <w:t>页面中部用可编辑形状重绘运行图，占宽70%；右侧列A至D四处检查。系统为一个进程内的职责模块，不画成独立微服务。</w:t>
      </w:r>
    </w:p>
    <w:p>
      <w:pPr>
        <w:pStyle w:val="Heading2"/>
      </w:pPr>
      <w:r>
        <w:t>讲稿参考  65秒</w:t>
      </w:r>
    </w:p>
    <w:p>
      <w:r>
        <w:t>架构采用原生Web、FastAPI和SQLite，只有一个主Agent。每轮请求先装配问题、历史和银行状态，再由模型选择工具。安全检查分布在入口、工具调用、意图准备和批准执行四个位置，均由确定性代码实施。查询可以直接返回数据；资金意图则继续经过人工批准或用户指定的有效预授权，最终在银行事务中复核和记账。</w:t>
      </w:r>
    </w:p>
    <w:p>
      <w:r>
        <w:t>内容依据  技术文档第03至04章；app.py agent.py agent_operations.py banking/service.py</w:t>
      </w:r>
    </w:p>
    <w:p>
      <w:r>
        <w:br w:type="page"/>
      </w:r>
    </w:p>
    <w:p>
      <w:pPr>
        <w:pStyle w:val="Heading1"/>
      </w:pPr>
      <w:r>
        <w:t>第05页  账单洞察</w:t>
      </w:r>
    </w:p>
    <w:p>
      <w:pPr>
        <w:pStyle w:val="Heading2"/>
      </w:pPr>
      <w:r>
        <w:t>页面标题</w:t>
      </w:r>
    </w:p>
    <w:p>
      <w:r>
        <w:t>每条异常线索都能回到原始流水</w:t>
      </w:r>
    </w:p>
    <w:p>
      <w:pPr>
        <w:pStyle w:val="Heading2"/>
      </w:pPr>
      <w:r>
        <w:t>上屏配文</w:t>
      </w:r>
    </w:p>
    <w:p>
      <w:r>
        <w:t>• 本期与前一等长区间在同一事务读取</w:t>
      </w:r>
    </w:p>
    <w:p>
      <w:r>
        <w:t>• 固定大额与历史中位数提供可解释线索</w:t>
      </w:r>
    </w:p>
    <w:p>
      <w:r>
        <w:t>• 消费、退款、转账分列 支持原区间分页核对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490806" cy="1737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-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0806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合成流水示例  异常线索用于人工核对</w:t>
      </w:r>
    </w:p>
    <w:p>
      <w:pPr>
        <w:pStyle w:val="Heading2"/>
      </w:pPr>
      <w:r>
        <w:t>配图与排版</w:t>
      </w:r>
    </w:p>
    <w:p>
      <w:r>
        <w:t>主素材 assets/details/bill-evidence.png</w:t>
      </w:r>
    </w:p>
    <w:p>
      <w:r>
        <w:t>右侧60%放异常详情，左侧给两条规则及200元与20元的示例比较。用短箭头指向原始流水；不要使用风险红色覆盖整页。</w:t>
      </w:r>
    </w:p>
    <w:p>
      <w:pPr>
        <w:pStyle w:val="Heading2"/>
      </w:pPr>
      <w:r>
        <w:t>讲稿参考  65秒</w:t>
      </w:r>
    </w:p>
    <w:p>
      <w:r>
        <w:t>账单分析先保证口径可以核对。页面结束日期包含当日，API采用左闭右开区间，并在同一事务读取本期与前一等长区间。规则同时提供固定大额提示和相对历史中位数线索。图中200元餐饮相对前期20元中位数触发提示，用户可以展开原始流水。这是可解释的核对线索，不是欺诈判定。</w:t>
      </w:r>
    </w:p>
    <w:p>
      <w:r>
        <w:t>内容依据  技术文档第05章；banking/reports.py</w:t>
      </w:r>
    </w:p>
    <w:p>
      <w:r>
        <w:br w:type="page"/>
      </w:r>
    </w:p>
    <w:p>
      <w:pPr>
        <w:pStyle w:val="Heading1"/>
      </w:pPr>
      <w:r>
        <w:t>第06页  核心业务演示</w:t>
      </w:r>
    </w:p>
    <w:p>
      <w:pPr>
        <w:pStyle w:val="Heading2"/>
      </w:pPr>
      <w:r>
        <w:t>页面标题</w:t>
      </w:r>
    </w:p>
    <w:p>
      <w:r>
        <w:t>从订阅证据到两步执行形成闭环</w:t>
      </w:r>
    </w:p>
    <w:p>
      <w:pPr>
        <w:pStyle w:val="Heading2"/>
      </w:pPr>
      <w:r>
        <w:t>上屏配文</w:t>
      </w:r>
    </w:p>
    <w:p>
      <w:r>
        <w:t>• 核对三次周期支出 再显式登记订阅</w:t>
      </w:r>
    </w:p>
    <w:p>
      <w:r>
        <w:t>• 预览取消所选订阅与固定金额转账</w:t>
      </w:r>
    </w:p>
    <w:p>
      <w:r>
        <w:t>• 每步独立确认 完成后核对2/2回执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642744" cy="1737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comple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2744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固定取消订阅后转账  脚本化Agent与实际模拟执行器</w:t>
      </w:r>
    </w:p>
    <w:p>
      <w:pPr>
        <w:pStyle w:val="Heading2"/>
      </w:pPr>
      <w:r>
        <w:t>配图与排版</w:t>
      </w:r>
    </w:p>
    <w:p>
      <w:r>
        <w:t>主素材 assets/details/workflow-complete.png</w:t>
      </w:r>
    </w:p>
    <w:p>
      <w:r>
        <w:t>横向四步流程占上部，底部以订阅证据和完成回执两张细节图并排。把2/2完成状态放大为说明标注，保留截图原文。</w:t>
      </w:r>
    </w:p>
    <w:p>
      <w:pPr>
        <w:pStyle w:val="Heading2"/>
      </w:pPr>
      <w:r>
        <w:t>讲稿参考  65秒</w:t>
      </w:r>
    </w:p>
    <w:p>
      <w:r>
        <w:t>这条演示从周期扣费证据开始。识别结果只是候选，用户核对后才登记。随后选择订阅、账户、收款人和固定金额，预览影响并保存方案。保存本身不付款，每一步仍要批准。后端强制步骤顺序、对象与金额，成功后才继续下一步。图中的2/2回执来自实际模拟执行器；未来减少的订阅支出不会被当作当前到账资金。</w:t>
      </w:r>
    </w:p>
    <w:p>
      <w:r>
        <w:t>内容依据  技术文档第06和08章；banking/subscriptions.py workflows.py</w:t>
      </w:r>
    </w:p>
    <w:p>
      <w:r>
        <w:br w:type="page"/>
      </w:r>
    </w:p>
    <w:p>
      <w:pPr>
        <w:pStyle w:val="Heading1"/>
      </w:pPr>
      <w:r>
        <w:t>第07页  扩展场景</w:t>
      </w:r>
    </w:p>
    <w:p>
      <w:pPr>
        <w:pStyle w:val="Heading2"/>
      </w:pPr>
      <w:r>
        <w:t>页面标题</w:t>
      </w:r>
    </w:p>
    <w:p>
      <w:r>
        <w:t>日期预算连接计划与用户确认</w:t>
      </w:r>
    </w:p>
    <w:p>
      <w:pPr>
        <w:pStyle w:val="Heading2"/>
      </w:pPr>
      <w:r>
        <w:t>上屏配文</w:t>
      </w:r>
    </w:p>
    <w:p>
      <w:r>
        <w:t>• 生日或纪念日计划保存日期、预算与收款对象</w:t>
      </w:r>
    </w:p>
    <w:p>
      <w:r>
        <w:t>• 创建时校验可用余额 不冻结或预留资金</w:t>
      </w:r>
    </w:p>
    <w:p>
      <w:r>
        <w:t>• 可操作时间内用户手动下单 再逐笔确认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084831" cy="1737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orkflow-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此图仅作固定工作流对照  不作为日期计划截图</w:t>
      </w:r>
    </w:p>
    <w:p>
      <w:pPr>
        <w:pStyle w:val="Heading2"/>
      </w:pPr>
      <w:r>
        <w:t>配图与排版</w:t>
      </w:r>
    </w:p>
    <w:p>
      <w:r>
        <w:t>主素材 assets/screenshots/07-workflow-preview.png</w:t>
      </w:r>
    </w:p>
    <w:p>
      <w:r>
        <w:t>正式页面不使用本页缩略图；用六个可编辑节点绘制 日期预算→余额校验→保存→用户手动下单→待确认→回执。角落补充卡片密码复核与理财人工确认两个入口。</w:t>
      </w:r>
    </w:p>
    <w:p>
      <w:pPr>
        <w:pStyle w:val="Heading2"/>
      </w:pPr>
      <w:r>
        <w:t>讲稿参考  60秒</w:t>
      </w:r>
    </w:p>
    <w:p>
      <w:r>
        <w:t>日期计划和刚才的固定联动是两个入口。用户为生日或纪念日保存日期与预算，创建时校验当时余额，但不会冻结或预留资金。到可操作时间后仍由用户手动点击下单，再生成待确认的模拟转账。Agent可以解释计划状态，但不能创建或下单。卡片和理财也遵循界面办理与后端检查配合的方式。</w:t>
      </w:r>
    </w:p>
    <w:p>
      <w:r>
        <w:t>内容依据  技术文档第07至08章；banking/scenarios.py cards.py wealth.py</w:t>
      </w:r>
    </w:p>
    <w:p>
      <w:r>
        <w:br w:type="page"/>
      </w:r>
    </w:p>
    <w:p>
      <w:pPr>
        <w:pStyle w:val="Heading1"/>
      </w:pPr>
      <w:r>
        <w:t>第08页  安全设计</w:t>
      </w:r>
    </w:p>
    <w:p>
      <w:pPr>
        <w:pStyle w:val="Heading2"/>
      </w:pPr>
      <w:r>
        <w:t>页面标题</w:t>
      </w:r>
    </w:p>
    <w:p>
      <w:r>
        <w:t>权限落实到账户 对象 金额与期限</w:t>
      </w:r>
    </w:p>
    <w:p>
      <w:pPr>
        <w:pStyle w:val="Heading2"/>
      </w:pPr>
      <w:r>
        <w:t>上屏配文</w:t>
      </w:r>
    </w:p>
    <w:p>
      <w:r>
        <w:t>• 默认逐笔确认 挑战绑定会话、操作和参数</w:t>
      </w:r>
    </w:p>
    <w:p>
      <w:r>
        <w:t>• 预授权限定对象、单笔与累计额度、最低余额和期限</w:t>
      </w:r>
    </w:p>
    <w:p>
      <w:r>
        <w:t>• 未知结果保留预占 原编号核对避免重复扣款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656607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-confi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6607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后端确认摘要包含对象 金额 费用与余额预览</w:t>
      </w:r>
    </w:p>
    <w:p>
      <w:pPr>
        <w:pStyle w:val="Heading2"/>
      </w:pPr>
      <w:r>
        <w:t>配图与排版</w:t>
      </w:r>
    </w:p>
    <w:p>
      <w:r>
        <w:t>主素材 assets/details/transfer-confirmation.png</w:t>
      </w:r>
    </w:p>
    <w:p>
      <w:r>
        <w:t>左侧45%放确认单，右侧分三层放权限条件。授权表单作为可选小图；密码输入区不放大，不使用真实凭据。</w:t>
      </w:r>
    </w:p>
    <w:p>
      <w:pPr>
        <w:pStyle w:val="Heading2"/>
      </w:pPr>
      <w:r>
        <w:t>讲稿参考  65秒</w:t>
      </w:r>
    </w:p>
    <w:p>
      <w:r>
        <w:t>登录身份和资金权限是分开的。默认模式下，确认挑战绑定当前会话、原操作和准确参数，关闭窗口不会执行。用户也可以创建范围明确的预授权，执行时仍要复核对象、额度、余额与期限。遇到结果未知，系统保留预占并按原编号核对，防止重新付款。密码、Cookie和确认凭证不进入模型。</w:t>
      </w:r>
    </w:p>
    <w:p>
      <w:r>
        <w:t>内容依据  安全自评第03至05章；banking/service.py auth/__init__.py</w:t>
      </w:r>
    </w:p>
    <w:p>
      <w:r>
        <w:br w:type="page"/>
      </w:r>
    </w:p>
    <w:p>
      <w:pPr>
        <w:pStyle w:val="Heading1"/>
      </w:pPr>
      <w:r>
        <w:t>第09页  验证证据</w:t>
      </w:r>
    </w:p>
    <w:p>
      <w:pPr>
        <w:pStyle w:val="Heading2"/>
      </w:pPr>
      <w:r>
        <w:t>页面标题</w:t>
      </w:r>
    </w:p>
    <w:p>
      <w:r>
        <w:t>验证记录覆盖回归 环境与人工流程</w:t>
      </w:r>
    </w:p>
    <w:p>
      <w:pPr>
        <w:pStyle w:val="Heading2"/>
      </w:pPr>
      <w:r>
        <w:t>上屏配文</w:t>
      </w:r>
    </w:p>
    <w:p>
      <w:r>
        <w:t>• 235项自动化回归通过 含1项前端浏览器冒烟</w:t>
      </w:r>
    </w:p>
    <w:p>
      <w:r>
        <w:t>• Python 3.13新建环境 依赖一致性与39项定向测试通过</w:t>
      </w:r>
    </w:p>
    <w:p>
      <w:r>
        <w:t>• 10项关键人工流程由项目负责人确认审核通过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563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-rou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5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补充机制  每轮按预算装配上下文并回填后端状态</w:t>
      </w:r>
    </w:p>
    <w:p>
      <w:pPr>
        <w:pStyle w:val="Heading2"/>
      </w:pPr>
      <w:r>
        <w:t>配图与排版</w:t>
      </w:r>
    </w:p>
    <w:p>
      <w:r>
        <w:t>主素材 assets/diagrams/context-routing.png</w:t>
      </w:r>
    </w:p>
    <w:p>
      <w:r>
        <w:t>三张数字卡235、39、10，单位和环境紧跟数字；下方列资金一致性、权限隔离、恢复和界面。不要画模型业务成功率环形图。</w:t>
      </w:r>
    </w:p>
    <w:p>
      <w:pPr>
        <w:pStyle w:val="Heading2"/>
      </w:pPr>
      <w:r>
        <w:t>讲稿参考  50秒</w:t>
      </w:r>
    </w:p>
    <w:p>
      <w:r>
        <w:t>验证证据分三类展示。Windows和Python 3.14.6的完整自动化回归为235项，包含一项前端浏览器冒烟；新建Python 3.13环境完成锁文件安装、依赖一致性和39项定向测试；10项列示人工流程由项目负责人确认通过。历史真实模型样本另有记录，结构检查与语义结论分别使用，不把这些数字换算成模型业务成功率。</w:t>
      </w:r>
    </w:p>
    <w:p>
      <w:r>
        <w:t>内容依据  技术文档第10章；安全自评第06章；manual-review-record.json</w:t>
      </w:r>
    </w:p>
    <w:p>
      <w:r>
        <w:br w:type="page"/>
      </w:r>
    </w:p>
    <w:p>
      <w:pPr>
        <w:pStyle w:val="Heading1"/>
      </w:pPr>
      <w:r>
        <w:t>第10页  收束</w:t>
      </w:r>
    </w:p>
    <w:p>
      <w:pPr>
        <w:pStyle w:val="Heading2"/>
      </w:pPr>
      <w:r>
        <w:t>页面标题</w:t>
      </w:r>
    </w:p>
    <w:p>
      <w:r>
        <w:t>以可解释查询和受控执行连接银行代办</w:t>
      </w:r>
    </w:p>
    <w:p>
      <w:pPr>
        <w:pStyle w:val="Heading2"/>
      </w:pPr>
      <w:r>
        <w:t>上屏配文</w:t>
      </w:r>
    </w:p>
    <w:p>
      <w:r>
        <w:t>• 查询有依据  对象可澄清</w:t>
      </w:r>
    </w:p>
    <w:p>
      <w:r>
        <w:t>• 执行有边界  状态可恢复</w:t>
      </w:r>
    </w:p>
    <w:p>
      <w:r>
        <w:t>• 本地模拟闭环 可运行可复核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501798" cy="1737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1798" cy="173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05050"/>
          <w:sz w:val="16"/>
        </w:rPr>
        <w:t>完整工作台与配套技术 安全 部署材料</w:t>
      </w:r>
    </w:p>
    <w:p>
      <w:pPr>
        <w:pStyle w:val="Heading2"/>
      </w:pPr>
      <w:r>
        <w:t>配图与排版</w:t>
      </w:r>
    </w:p>
    <w:p>
      <w:r>
        <w:t>主素材 assets/screenshots/02-overview.png</w:t>
      </w:r>
    </w:p>
    <w:p>
      <w:r>
        <w:t>留白为主；三条短句左对齐，右侧低对比概览局部。页脚仅项目名和答辩结束，不放开发待办或未经证实的计划。</w:t>
      </w:r>
    </w:p>
    <w:p>
      <w:pPr>
        <w:pStyle w:val="Heading2"/>
      </w:pPr>
      <w:r>
        <w:t>讲稿参考  30秒</w:t>
      </w:r>
    </w:p>
    <w:p>
      <w:r>
        <w:t>AI-Banking把金融意图落实到可解释查询、明确对象、受控执行和可核对回执。核心价值是让自然语言助手与确定性的资金后端协同工作，并保持操作状态可以恢复。我们以本地模拟银行完成这条业务闭环，配套源码、部署说明和验证记录，便于评审运行和复核。</w:t>
      </w:r>
    </w:p>
    <w:p>
      <w:r>
        <w:t>内容依据  技术文档与安全自评总结</w:t>
      </w:r>
    </w:p>
    <w:p>
      <w:r>
        <w:br w:type="page"/>
      </w:r>
    </w:p>
    <w:p>
      <w:pPr>
        <w:pStyle w:val="Heading1"/>
      </w:pPr>
      <w:r>
        <w:t>素材索引与交接要求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0323D"/>
          </w:tcPr>
          <w:p>
            <w:r>
              <w:rPr>
                <w:color w:val="FFFFFF"/>
                <w:sz w:val="18"/>
              </w:rPr>
              <w:t>目录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0323D"/>
          </w:tcPr>
          <w:p>
            <w:r>
              <w:rPr>
                <w:color w:val="FFFFFF"/>
                <w:sz w:val="18"/>
              </w:rPr>
              <w:t>内容与用途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assets/screenshots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14张完整PNG  保留原图与文字状态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assets/details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4张局部裁切  账单 订阅 转账确认 完成回执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assets/diagrams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运行安全关卡 工具映射 上下文装配  PNG与SVG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slides.json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5F6"/>
          </w:tcPr>
          <w:p>
            <w:r>
              <w:rPr>
                <w:color w:val="000000"/>
                <w:sz w:val="18"/>
              </w:rPr>
              <w:t>10页的标题 配文 讲稿 时间 布局与依据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asset-manifest.json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r>
              <w:rPr>
                <w:color w:val="000000"/>
                <w:sz w:val="18"/>
              </w:rPr>
              <w:t>图片尺寸 SHA256 来源与裁切坐标</w:t>
            </w:r>
          </w:p>
        </w:tc>
      </w:tr>
    </w:tbl>
    <w:p>
      <w:pPr>
        <w:pStyle w:val="Heading2"/>
      </w:pPr>
      <w:r>
        <w:t>关键配图对应</w:t>
      </w:r>
    </w:p>
    <w:p>
      <w:r>
        <w:t>第06页补充assets/details/subscription-evidence.png；第08页可用assets/screenshots/14-authorization-scope.png作授权表单辅图。13-workflow-mobile.png是390×844浏览器视口示例，用作附录，不当作真实手机设备验收。</w:t>
      </w:r>
    </w:p>
    <w:p>
      <w:pPr>
        <w:pStyle w:val="Heading2"/>
      </w:pPr>
      <w:r>
        <w:t>架构重绘</w:t>
      </w:r>
    </w:p>
    <w:p>
      <w:r>
        <w:t>第04页以agent-runtime.svg为主：浏览器→FastAPI身份入口→每轮上下文装配→单主Agent→工具查询或意图准备→批准与执行→SQLite回执。A至D是确定性应用检查，没有额外安全审核模型。context-routing.svg适合作答辩备选附页。</w:t>
      </w:r>
    </w:p>
    <w:p>
      <w:pPr>
        <w:pStyle w:val="Heading2"/>
      </w:pPr>
      <w:r>
        <w:t>交接验收</w:t>
      </w:r>
    </w:p>
    <w:p>
      <w:r>
        <w:t>逐页检查文字是否可编辑、图像是否变形、关键状态是否完整；16比9全屏检查文字与裁切；计时控制在10分钟内；核对235项自动化、39项定向测试与10项人工流程的单位与来源。导出可编辑PPTX，并按提交系统要求另导PDF。本素材包不包含新制作的PPT。</w:t>
      </w:r>
    </w:p>
    <w:p>
      <w:pPr>
        <w:pStyle w:val="Heading2"/>
      </w:pPr>
      <w:r>
        <w:t>验证范围</w:t>
      </w:r>
    </w:p>
    <w:p>
      <w:r>
        <w:t>真实模型使用历史36条固定样本，35条结构检查通过，1条预算耗尽被保护拦截且无扣款。卡片、日期计划、理财专项依据自动化与界面流程；不能据此宣称全部场景的真实模型语义评测通过。安全风险与本地模拟范围按配套安全自评保留。</w:t>
      </w:r>
    </w:p>
    <w:sectPr w:rsidR="00FC693F" w:rsidRPr="0006063C" w:rsidSect="00034616"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Banking 答辩PPT制作指南</dc:title>
  <dc:subject/>
  <dc:creator>AI-Banking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