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Dienstanweisung: Bearbeitung von Auskunftssperren nach § 51 BMG</w:t>
      </w:r>
    </w:p>
    <w:p>
      <w:r>
        <w:rPr>
          <w:i/>
        </w:rPr>
        <w:t>Aktenzeichen: AZ 32.1-DA-2026-003</w:t>
      </w:r>
    </w:p>
    <w:p>
      <w:pPr>
        <w:pStyle w:val="Heading2"/>
      </w:pPr>
      <w:r>
        <w:t>Zweck</w:t>
      </w:r>
    </w:p>
    <w:p>
      <w:r>
        <w:t>Diese Dienstanweisung regelt die interne Bearbeitung von Anträgen auf Auskunftssperren im Melderegister, insbesondere bei Anhaltspunkten für eine Gefährdung der antragstellenden Person.</w:t>
      </w:r>
    </w:p>
    <w:p>
      <w:pPr>
        <w:pStyle w:val="Heading2"/>
      </w:pPr>
      <w:r>
        <w:t>Vorgehen</w:t>
      </w:r>
    </w:p>
    <w:p>
      <w:r>
        <w:t>Eingehende Anträge werden vorrangig bearbeitet und innerhalb von drei Werktagen im Melderegister vermerkt.</w:t>
      </w:r>
    </w:p>
    <w:p>
      <w:r>
        <w:t>Bei glaubhaft gemachter akuter Gefährdung (z. B. häusliche Gewalt) wird die Sperre vorläufig noch am selben Tag eingetragen; die abschließende Prüfung der Unterlagen erfolgt nachgelagert.</w:t>
      </w:r>
    </w:p>
    <w:p>
      <w:pPr>
        <w:pStyle w:val="Heading2"/>
      </w:pPr>
      <w:r>
        <w:t>Vertraulichkeit</w:t>
      </w:r>
    </w:p>
    <w:p>
      <w:r>
        <w:t>Auskünfte über eine bestehende Auskunftssperre werden ausschließlich an berechtigte Stellen nach § 51 BMG erteilt; jede Anfrage wird protokolliert.</w:t>
      </w:r>
    </w:p>
    <w:p/>
    <w:p>
      <w:r>
        <w:rPr>
          <w:i/>
          <w:sz w:val="18"/>
        </w:rPr>
        <w:t>Dieses Dokument ist Teil des synthetischen Demo-Korpus der fiktiven Stadt Rheinfurt (siehe SOURCE.md im Wurzelverzeichnis dieses Korpus). Es ist nur für die Bibliothek 'Interne Dienstanweisungen Meldewesen' bestimmt und nicht Teil der öffentlichen Leistungsbeschreibungen.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