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Vertretungsregelung im Sachgebiet Meldewesen</w:t>
      </w:r>
    </w:p>
    <w:p>
      <w:r>
        <w:rPr>
          <w:i/>
        </w:rPr>
        <w:t>Aktenzeichen: AZ 32.1-DA-2026-004</w:t>
      </w:r>
    </w:p>
    <w:p>
      <w:pPr>
        <w:pStyle w:val="Heading2"/>
      </w:pPr>
      <w:r>
        <w:t>Regelvertretung</w:t>
      </w:r>
    </w:p>
    <w:p>
      <w:r>
        <w:t>Bei Abwesenheit einer Sachbearbeiterin oder eines Sachbearbeiters übernimmt die im Dienstplan ausgewiesene Vertretung innerhalb des Sachgebiets die laufenden Vorgänge.</w:t>
      </w:r>
    </w:p>
    <w:p>
      <w:pPr>
        <w:pStyle w:val="Heading2"/>
      </w:pPr>
      <w:r>
        <w:t>Sonderfälle</w:t>
      </w:r>
    </w:p>
    <w:p>
      <w:r>
        <w:t>Bei gleichzeitiger Abwesenheit von mehr als der Hälfte des Sachgebiets wird die Terminvergabe für den betroffenen Zeitraum reduziert; die Sachgebietsleitung entscheidet über die Priorisierung dringender Fälle (z. B. Reisepassabholung vor gebuchtem Flug).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