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Dienstanweisung: Umgang mit Amtshilfeersuchen anderer Meldebehörden</w:t>
      </w:r>
    </w:p>
    <w:p>
      <w:r>
        <w:rPr>
          <w:i/>
        </w:rPr>
        <w:t>Aktenzeichen: AZ 32.1-DA-2026-005</w:t>
      </w:r>
    </w:p>
    <w:p>
      <w:pPr>
        <w:pStyle w:val="Heading2"/>
      </w:pPr>
      <w:r>
        <w:t>Grundsatz</w:t>
      </w:r>
    </w:p>
    <w:p>
      <w:r>
        <w:t>Ersuchen anderer Meldebehörden werden innerhalb von fünf Werktagen beantwortet, sofern keine Auskunftssperre entgegensteht.</w:t>
      </w:r>
    </w:p>
    <w:p>
      <w:pPr>
        <w:pStyle w:val="Heading2"/>
      </w:pPr>
      <w:r>
        <w:t>Formvorgaben</w:t>
      </w:r>
    </w:p>
    <w:p>
      <w:r>
        <w:t>Ersuchen sind grundsätzlich schriftlich über das Fachverfahren zu stellen; telefonische Ersuchen werden nur bei Gefahr im Verzug bearbeitet und nachträglich schriftlich bestätigt.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