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Dienstanweisung: Vier-Augen-Prinzip bei der Ausstellung von Personalausweisen</w:t>
      </w:r>
    </w:p>
    <w:p>
      <w:r>
        <w:rPr>
          <w:i/>
        </w:rPr>
        <w:t>Aktenzeichen: AZ 32.1-DA-2026-007</w:t>
      </w:r>
    </w:p>
    <w:p>
      <w:pPr>
        <w:pStyle w:val="Heading2"/>
      </w:pPr>
      <w:r>
        <w:t>Anwendungsfälle</w:t>
      </w:r>
    </w:p>
    <w:p>
      <w:r>
        <w:t>Das Vier-Augen-Prinzip gilt verbindlich bei Erstbeantragung ohne vorhandenes Altdokument, bei Verlustanzeigen mit anschließender Neubeantragung am selben Tag, sowie bei jedem Verdachtsfall nach der Dienstanweisung zu gefälschten Ausweisdokumenten.</w:t>
      </w:r>
    </w:p>
    <w:p>
      <w:pPr>
        <w:pStyle w:val="Heading2"/>
      </w:pPr>
      <w:r>
        <w:t>Durchführung</w:t>
      </w:r>
    </w:p>
    <w:p>
      <w:r>
        <w:t>Eine zweite Sachbearbeiterin oder ein zweiter Sachbearbeiter prüft unabhängig die vorgelegten Unterlagen und bestätigt die Freigabe mit Kurzzeichen im Fachverfahren, bevor der Antrag weiterverarbeitet wird.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