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Dienstanweisung: Terminvergabe und Wartezeitmanagement im Bürgerbüro</w:t>
      </w:r>
    </w:p>
    <w:p>
      <w:r>
        <w:rPr>
          <w:i/>
        </w:rPr>
        <w:t>Aktenzeichen: AZ 32.1-DA-2026-009</w:t>
      </w:r>
    </w:p>
    <w:p>
      <w:pPr>
        <w:pStyle w:val="Heading2"/>
      </w:pPr>
      <w:r>
        <w:t>Kontingente</w:t>
      </w:r>
    </w:p>
    <w:p>
      <w:r>
        <w:t>Je Sachgebiet werden täglich feste Terminkontingente sowie ein kleines Kontingent für dringende Spontanfälle ohne Termin vorgehalten.</w:t>
      </w:r>
    </w:p>
    <w:p>
      <w:pPr>
        <w:pStyle w:val="Heading2"/>
      </w:pPr>
      <w:r>
        <w:t>Priorisierung</w:t>
      </w:r>
    </w:p>
    <w:p>
      <w:r>
        <w:t>Bei hohem Andrang entscheidet die diensthabende Teamleitung über eine vorübergehende Umverteilung von Personal zwischen den Empfangsbereichen Meldewesen und Kfz-Zulassung.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