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Eskalationsregeln Stufe 1 bis 3 bei Beschwerden im Bürgerbüro</w:t>
      </w:r>
    </w:p>
    <w:p>
      <w:r>
        <w:rPr>
          <w:i/>
        </w:rPr>
        <w:t>Aktenzeichen: AZ 32.1-ESK-2026-001</w:t>
      </w:r>
    </w:p>
    <w:p>
      <w:pPr>
        <w:pStyle w:val="Heading2"/>
      </w:pPr>
      <w:r>
        <w:t>Stufe 1: Vor-Ort-Klärung</w:t>
      </w:r>
    </w:p>
    <w:p>
      <w:r>
        <w:t>Die Sachbearbeitung versucht, die Beschwerde direkt am Schalter zu klären. Gelingt dies nicht innerhalb weniger Minuten, wird an Stufe 2 übergeben.</w:t>
      </w:r>
    </w:p>
    <w:p>
      <w:pPr>
        <w:pStyle w:val="Heading2"/>
      </w:pPr>
      <w:r>
        <w:t>Stufe 2: Teamleitung</w:t>
      </w:r>
    </w:p>
    <w:p>
      <w:r>
        <w:t>Die diensthabende Teamleitung übernimmt das Gespräch. Bleibt die Beschwerde ungelöst oder betrifft sie einen grundsätzlichen Verfahrensfehler, wird an Stufe 3 übergeben.</w:t>
      </w:r>
    </w:p>
    <w:p>
      <w:pPr>
        <w:pStyle w:val="Heading2"/>
      </w:pPr>
      <w:r>
        <w:t>Stufe 3: Sachgebietsleitung</w:t>
      </w:r>
    </w:p>
    <w:p>
      <w:r>
        <w:t>Die Sachgebietsleitung entscheidet abschließend und dokumentiert die Beschwerde im Beschwerdemanagement-System.</w:t>
      </w:r>
    </w:p>
    <w:p/>
    <w:p>
      <w:r>
        <w:rPr>
          <w:i/>
          <w:sz w:val="18"/>
        </w:rPr>
        <w:t>Dieses Dokument ist Teil des synthetischen Demo-Korpus der fiktiven Stadt Rheinfurt (siehe SOURCE.md im Wurzelverzeichnis dieses Korpus). Es ist nur für die Bibliothek 'Interne Dienstanweisungen Meldewesen' bestimmt und nicht Teil der öffentlichen Leistungsbeschreibungen.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