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Eskalationsregeln bei medizinischen Notfällen im Bürgerbüro</w:t>
      </w:r>
    </w:p>
    <w:p>
      <w:r>
        <w:rPr>
          <w:i/>
        </w:rPr>
        <w:t>Aktenzeichen: AZ 32.1-ESK-2026-004</w:t>
      </w:r>
    </w:p>
    <w:p>
      <w:pPr>
        <w:pStyle w:val="Heading2"/>
      </w:pPr>
      <w:r>
        <w:t>Erstversorgung</w:t>
      </w:r>
    </w:p>
    <w:p>
      <w:r>
        <w:t>Ersthelfende Kolleginnen und Kollegen leisten Erste Hilfe; parallel wird der Rettungsdienst über die zentrale Notrufnummer alarmiert.</w:t>
      </w:r>
    </w:p>
    <w:p>
      <w:pPr>
        <w:pStyle w:val="Heading2"/>
      </w:pPr>
      <w:r>
        <w:t>Nachbereitung</w:t>
      </w:r>
    </w:p>
    <w:p>
      <w:r>
        <w:t>Der Vorfall wird im Meldeportal für Arbeitssicherheit dokumentiert; bei Bedarf wird betroffenen Mitarbeitenden ein Gespräch mit dem betriebsärztlichen Dienst angeboten.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