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Aktenplanauszug: Gruppe 10.4 Dokumentenformate</w:t>
      </w:r>
    </w:p>
    <w:p>
      <w:r>
        <w:rPr>
          <w:i/>
        </w:rPr>
        <w:t>Dateiformat dieses Musters: Word (.docx) · Stand: 2. März 2026</w:t>
      </w:r>
    </w:p>
    <w:p>
      <w:pPr>
        <w:pStyle w:val="Heading2"/>
      </w:pPr>
      <w:r>
        <w:t>Einordnung</w:t>
      </w:r>
    </w:p>
    <w:p>
      <w:r>
        <w:t>Die Aktenplangruppe 10.4 führt alle Unterlagen zur Steuerung der elektronischen Ablage: Formatfreigaben, Formatmuster, Vermerke zur Langzeitarchivierung und die Verträge mit dem Scandienstleister.</w:t>
      </w:r>
    </w:p>
    <w:p>
      <w:pPr>
        <w:pStyle w:val="Heading2"/>
      </w:pPr>
      <w:r>
        <w:t>Untergruppen</w:t>
      </w:r>
    </w:p>
    <w:p>
      <w:r>
        <w:t>Die Untergruppen werden nicht weiter geteilt. Eine Unterlage, die in keine der vier Untergruppen passt, gehört in die Gruppe 10.0 Allgemeine Organisation.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Aktenzeichen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Aufbewahrung</w:t>
            </w:r>
          </w:p>
        </w:tc>
      </w:tr>
      <w:tr>
        <w:tc>
          <w:tcPr>
            <w:tcW w:type="dxa" w:w="2880"/>
          </w:tcPr>
          <w:p>
            <w:r>
              <w:t>10.4-FORM</w:t>
            </w:r>
          </w:p>
        </w:tc>
        <w:tc>
          <w:tcPr>
            <w:tcW w:type="dxa" w:w="2880"/>
          </w:tcPr>
          <w:p>
            <w:r>
              <w:t>Formatfreigaben und Formatmuster</w:t>
            </w:r>
          </w:p>
        </w:tc>
        <w:tc>
          <w:tcPr>
            <w:tcW w:type="dxa" w:w="2880"/>
          </w:tcPr>
          <w:p>
            <w:r>
              <w:t>10 Jahre</w:t>
            </w:r>
          </w:p>
        </w:tc>
      </w:tr>
      <w:tr>
        <w:tc>
          <w:tcPr>
            <w:tcW w:type="dxa" w:w="2880"/>
          </w:tcPr>
          <w:p>
            <w:r>
              <w:t>10.4-ARCH</w:t>
            </w:r>
          </w:p>
        </w:tc>
        <w:tc>
          <w:tcPr>
            <w:tcW w:type="dxa" w:w="2880"/>
          </w:tcPr>
          <w:p>
            <w:r>
              <w:t>Langzeitarchivierung, Speicherkosten</w:t>
            </w:r>
          </w:p>
        </w:tc>
        <w:tc>
          <w:tcPr>
            <w:tcW w:type="dxa" w:w="2880"/>
          </w:tcPr>
          <w:p>
            <w:r>
              <w:t>dauernd</w:t>
            </w:r>
          </w:p>
        </w:tc>
      </w:tr>
      <w:tr>
        <w:tc>
          <w:tcPr>
            <w:tcW w:type="dxa" w:w="2880"/>
          </w:tcPr>
          <w:p>
            <w:r>
              <w:t>10.4-SCAN</w:t>
            </w:r>
          </w:p>
        </w:tc>
        <w:tc>
          <w:tcPr>
            <w:tcW w:type="dxa" w:w="2880"/>
          </w:tcPr>
          <w:p>
            <w:r>
              <w:t>Scandienstleister, Rahmenvertrag</w:t>
            </w:r>
          </w:p>
        </w:tc>
        <w:tc>
          <w:tcPr>
            <w:tcW w:type="dxa" w:w="2880"/>
          </w:tcPr>
          <w:p>
            <w:r>
              <w:t>10 Jahre nach Vertragsende</w:t>
            </w:r>
          </w:p>
        </w:tc>
      </w:tr>
      <w:tr>
        <w:tc>
          <w:tcPr>
            <w:tcW w:type="dxa" w:w="2880"/>
          </w:tcPr>
          <w:p>
            <w:r>
              <w:t>10.4-POST</w:t>
            </w:r>
          </w:p>
        </w:tc>
        <w:tc>
          <w:tcPr>
            <w:tcW w:type="dxa" w:w="2880"/>
          </w:tcPr>
          <w:p>
            <w:r>
              <w:t>Posteingang, Formatstatistik</w:t>
            </w:r>
          </w:p>
        </w:tc>
        <w:tc>
          <w:tcPr>
            <w:tcW w:type="dxa" w:w="2880"/>
          </w:tcPr>
          <w:p>
            <w:r>
              <w:t>5 Jahre</w:t>
            </w:r>
          </w:p>
        </w:tc>
      </w:tr>
    </w:tbl>
    <w:p>
      <w:pPr>
        <w:pStyle w:val="Heading2"/>
      </w:pPr>
      <w:r>
        <w:t>Aufbewahrung</w:t>
      </w:r>
    </w:p>
    <w:p>
      <w:r>
        <w:t>Die Aufbewahrungsfrist der Formatmuster beträgt zehn Jahre ab dem Ende des Jahres, in dem das Muster ersetzt wurde. Danach entscheidet das Stadtarchiv Rheinfurt über die Übernahme.</w:t>
      </w:r>
    </w:p>
    <w:p/>
    <w:p>
      <w:r>
        <w:rPr>
          <w:i/>
          <w:sz w:val="18"/>
        </w:rPr>
        <w:t>Synthetisches Musterdokument der fiktiven Stadt Rheinfurt aus der Bibliothek 'Formattest auf S3' des OPAA-Demo-Korpus (siehe SOURCE.md im Wurzelverzeichnis dieses Korpus). Es zeigt ein unterstütztes Dateiformat mit echtem Inhalt.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