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Datenschutz bei der Melderegisterauskunft</w:t>
      </w:r>
    </w:p>
    <w:p>
      <w:r>
        <w:rPr>
          <w:i/>
        </w:rPr>
        <w:t>Aktenzeichen: AZ 32.1-DA-2026-006</w:t>
      </w:r>
    </w:p>
    <w:p>
      <w:pPr>
        <w:pStyle w:val="Heading2"/>
      </w:pPr>
      <w:r>
        <w:t>Prüfpflicht</w:t>
      </w:r>
    </w:p>
    <w:p>
      <w:r>
        <w:t>Vor Erteilung einer einfachen Melderegisterauskunft ist zu prüfen, ob eine Auskunftssperre, eine Übermittlungssperre oder ein sonstiges Übermittlungsverbot vorliegt.</w:t>
      </w:r>
    </w:p>
    <w:p>
      <w:pPr>
        <w:pStyle w:val="Heading2"/>
      </w:pPr>
      <w:r>
        <w:t>Erweiterte Melderegisterauskunft</w:t>
      </w:r>
    </w:p>
    <w:p>
      <w:r>
        <w:t>Eine erweiterte Auskunft (z. B. an Gerichtsvollzieher) wird nur bei Nachweis eines berechtigten Interesses und nach Prüfung durch die Sachgebietsleitung erteilt.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