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Eskalationsregeln bei Verdacht auf Kindeswohlgefährdung während der Vorsprache</w:t>
      </w:r>
    </w:p>
    <w:p>
      <w:r>
        <w:rPr>
          <w:i/>
        </w:rPr>
        <w:t>Aktenzeichen: AZ 32.1-ESK-2026-003</w:t>
      </w:r>
    </w:p>
    <w:p>
      <w:pPr>
        <w:pStyle w:val="Heading2"/>
      </w:pPr>
      <w:r>
        <w:t>Erkennen</w:t>
      </w:r>
    </w:p>
    <w:p>
      <w:r>
        <w:t>Ergeben sich während einer Vorsprache konkrete Anhaltspunkte für eine Kindeswohlgefährdung, wird das Gespräch besonnen fortgeführt, ohne die Situation zu verschärfen.</w:t>
      </w:r>
    </w:p>
    <w:p>
      <w:pPr>
        <w:pStyle w:val="Heading2"/>
      </w:pPr>
      <w:r>
        <w:t>Meldung</w:t>
      </w:r>
    </w:p>
    <w:p>
      <w:r>
        <w:t>Die Sachgebietsleitung wird unverzüglich informiert und meldet den Sachverhalt an die Fachberatung Kinderschutz gemäß den städtischen Kinderschutzverfahren.</w:t>
      </w:r>
    </w:p>
    <w:p/>
    <w:p>
      <w:r>
        <w:rPr>
          <w:i/>
          <w:sz w:val="18"/>
        </w:rPr>
        <w:t>Dieses Dokument ist Teil des synthetischen Demo-Korpus der fiktiven Stadt Rheinfurt (siehe SOURCE.md im Wurzelverzeichnis dieses Korpus). Es ist nur für die Bibliothek 'Interne Dienstanweisungen Meldewesen' bestimmt und nicht Teil der öffentlichen Leistungsbeschreibungen.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