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Gebührenermäßigung und -befreiung wegen Bedürftigkeit</w:t>
      </w:r>
    </w:p>
    <w:p>
      <w:r>
        <w:rPr>
          <w:i/>
        </w:rPr>
        <w:t>Aktenzeichen: AZ 32.1-DA-2026-002</w:t>
      </w:r>
    </w:p>
    <w:p>
      <w:pPr>
        <w:pStyle w:val="Heading2"/>
      </w:pPr>
      <w:r>
        <w:t>Rechtsgrundlage</w:t>
      </w:r>
    </w:p>
    <w:p>
      <w:r>
        <w:t>§ 3 der Verwaltungsgebührensatzung der Stadt Rheinfurt (VGS) erlaubt auf schriftlichen Antrag den ganzen oder teilweisen Erlass von Verwaltungsgebühren, wenn die Einziehung eine unbillige Härte bedeuten würde.</w:t>
      </w:r>
    </w:p>
    <w:p>
      <w:pPr>
        <w:pStyle w:val="Heading2"/>
      </w:pPr>
      <w:r>
        <w:t>Anerkannte Nachweise</w:t>
      </w:r>
    </w:p>
    <w:p>
      <w:r>
        <w:t>Als Nachweis genügt in der Regel einer der folgenden aktuellen Bescheide: Bürgergeld, Grundsicherung im Alter oder bei Erwerbsminderung, Wohngeld, oder Leistungen nach dem Asylbewerberleistungsgesetz. Der Nachweis darf bei Antragstellung nicht älter als drei Monate sein.</w:t>
      </w:r>
    </w:p>
    <w:p>
      <w:pPr>
        <w:pStyle w:val="Heading2"/>
      </w:pPr>
      <w:r>
        <w:t>Verfahren am Schalter</w:t>
      </w:r>
    </w:p>
    <w:p>
      <w:r>
        <w:t>1. Die antragstellende Person legt den formlosen schriftlichen Antrag zusammen mit dem Nachweis vor.</w:t>
      </w:r>
    </w:p>
    <w:p>
      <w:r>
        <w:t>2. Die Sachbearbeitung prüft die Vollständigkeit des Nachweises und leitet den Vorgang zur Entscheidung an die Sachgebietsleitung weiter.</w:t>
      </w:r>
    </w:p>
    <w:p>
      <w:r>
        <w:t>3. Bis zur Entscheidung wird die Amtshandlung (z. B. Ausstellung des Personalausweises) bereits durchgeführt; der Gebührenbescheid ergeht gesondert.</w:t>
      </w:r>
    </w:p>
    <w:p>
      <w:r>
        <w:t>4. Die Entscheidung wird der antragstellenden Person schriftlich mitgeteilt und im Vorgang dokumentiert.</w:t>
      </w:r>
    </w:p>
    <w:p>
      <w:pPr>
        <w:pStyle w:val="Heading2"/>
      </w:pPr>
      <w:r>
        <w:t>Hinweis für die Auskunft</w:t>
      </w:r>
    </w:p>
    <w:p>
      <w:r>
        <w:t>Diese Dienstanweisung konkretisiert § 3 VGS für die tägliche Schalterarbeit; die Satzung selbst bleibt die maßgebliche Rechtsgrundlage und ist öffentlich einsehbar. Für Kfz-Angelegenheiten gilt § 3 VGS entsprechend, eine gesonderte Dienstanweisung für die Kfz-Zulassung besteht dazu nicht.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