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Dienstanweisung: Umgang mit aggressivem oder bedrohlichem Verhalten am Schalter</w:t>
      </w:r>
    </w:p>
    <w:p>
      <w:r>
        <w:rPr>
          <w:i/>
        </w:rPr>
        <w:t>Aktenzeichen: AZ 32.1-DA-2026-010</w:t>
      </w:r>
    </w:p>
    <w:p>
      <w:pPr>
        <w:pStyle w:val="Heading2"/>
      </w:pPr>
      <w:r>
        <w:t>Deeskalation</w:t>
      </w:r>
    </w:p>
    <w:p>
      <w:r>
        <w:t>Bei erkennbarer Eskalation wird zunächst ruhig und sachlich deeskaliert; Hilfe durch Kolleginnen und Kollegen ist frühzeitig, aber unauffällig anzufordern.</w:t>
      </w:r>
    </w:p>
    <w:p>
      <w:pPr>
        <w:pStyle w:val="Heading2"/>
      </w:pPr>
      <w:r>
        <w:t>Eskalationsstufen</w:t>
      </w:r>
    </w:p>
    <w:p>
      <w:r>
        <w:t>Bleibt die Deeskalation erfolglos, gelten die Eskalationsregeln Stufe 1 bis 3 bei Beschwerden im Bürgerbüro; bei unmittelbarer Gefahr wird der Empfang über den stillen Alarm benachrichtigt und die Polizei gerufen.</w:t>
      </w:r>
    </w:p>
    <w:p/>
    <w:p>
      <w:r>
        <w:rPr>
          <w:i/>
          <w:sz w:val="18"/>
        </w:rPr>
        <w:t>Dieses Dokument ist Teil des synthetischen Demo-Korpus der fiktiven Stadt Rheinfurt (siehe SOURCE.md im Wurzelverzeichnis dieses Korpus). Es ist nur für die Bibliothek 'Interne Dienstanweisungen Meldewesen' bestimmt und nicht Teil der öffentlichen Leistungsbeschreibungen.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