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Eskalationsregeln bei IT-Ausfall der Fachanwendung MeldeSoft</w:t>
      </w:r>
    </w:p>
    <w:p>
      <w:r>
        <w:rPr>
          <w:i/>
        </w:rPr>
        <w:t>Aktenzeichen: AZ 32.1-ESK-2026-002</w:t>
      </w:r>
    </w:p>
    <w:p>
      <w:pPr>
        <w:pStyle w:val="Heading2"/>
      </w:pPr>
      <w:r>
        <w:t>Sofortmaßnahmen</w:t>
      </w:r>
    </w:p>
    <w:p>
      <w:r>
        <w:t>Bei Ausfall der Fachanwendung MeldeSoft wechselt das Sachgebiet auf den papiergestützten Notbetrieb; laufende Vorgänge werden mit Zeitstempel auf Papier fortgeführt und nach Wiederherstellung nacherfasst.</w:t>
      </w:r>
    </w:p>
    <w:p>
      <w:pPr>
        <w:pStyle w:val="Heading2"/>
      </w:pPr>
      <w:r>
        <w:t>Meldewege</w:t>
      </w:r>
    </w:p>
    <w:p>
      <w:r>
        <w:t>Der Ausfall wird unverzüglich der IT-Leitstelle gemeldet; dauert die Störung länger als 30 Minuten, informiert die Sachgebietsleitung die wartenden Bürgerinnen und Bürger über die voraussichtliche Dauer.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