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0B3448"/>
            <w:tcMar>
              <w:top w:w="420" w:type="dxa"/>
              <w:start w:w="300" w:type="dxa"/>
              <w:bottom w:w="420" w:type="dxa"/>
              <w:end w:w="3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60"/>
              </w:rPr>
              <w:t>ATLAS 118</w:t>
              <w:br/>
            </w:r>
            <w:r>
              <w:rPr>
                <w:b/>
                <w:color w:val="A8E8F8"/>
                <w:sz w:val="36"/>
              </w:rPr>
              <w:t>Manuale Referente Volontari</w:t>
              <w:br/>
            </w:r>
            <w:r>
              <w:rPr>
                <w:color w:val="DCF3F9"/>
                <w:sz w:val="23"/>
              </w:rPr>
              <w:t>Calendario richieste, salvataggio automatico e invio al RO</w:t>
            </w:r>
          </w:p>
        </w:tc>
      </w:tr>
    </w:tbl>
    <w:p>
      <w:pPr>
        <w:pStyle w:val="BodyText"/>
        <w:jc w:val="center"/>
      </w:pPr>
      <w:r>
        <w:rPr>
          <w:b/>
          <w:color w:val="0B3448"/>
          <w:sz w:val="22"/>
        </w:rPr>
        <w:t>Documento operativo - versione definitiva 1.0</w:t>
      </w:r>
    </w:p>
    <w:p>
      <w:pPr>
        <w:pStyle w:val="Heading1"/>
        <w:keepNext/>
      </w:pPr>
      <w:r>
        <w:t>1. Scopo della pagina</w:t>
      </w:r>
    </w:p>
    <w:p>
      <w:pPr>
        <w:pStyle w:val="BodyText"/>
      </w:pPr>
      <w:r>
        <w:t>La pagina del Referente Volontari serve esclusivamente a comunicare al Responsabile Operativo i buchi della turnazione volontari da coprire con dipendenti. Il Referente non vede dipendenti, calendario dipendenti o anagrafiche.</w:t>
      </w:r>
    </w:p>
    <w:p>
      <w:pPr>
        <w:pStyle w:val="Heading1"/>
        <w:keepNext/>
      </w:pPr>
      <w:r>
        <w:t>2. Calendario mensile</w:t>
      </w:r>
    </w:p>
    <w:p>
      <w:pPr>
        <w:pStyle w:val="BodyText"/>
      </w:pPr>
      <w:r>
        <w:t>La pagina mostra un calendario a caselle. Ogni casella corrisponde a un giorno del mese. Cliccando sulla casella si apre la finestra della giornata.</w:t>
      </w:r>
    </w:p>
    <w:p>
      <w:pPr>
        <w:pStyle w:val="Heading1"/>
        <w:keepNext/>
      </w:pPr>
      <w:r>
        <w:t>3. Inserire richieste</w:t>
      </w:r>
    </w:p>
    <w:p>
      <w:pPr>
        <w:pStyle w:val="ListBullet"/>
      </w:pPr>
      <w:r>
        <w:t>Cliccare sul giorno.</w:t>
      </w:r>
    </w:p>
    <w:p>
      <w:pPr>
        <w:pStyle w:val="ListBullet"/>
      </w:pPr>
      <w:r>
        <w:t>Compilare turno, sede, orario, equipaggio, ruoli mancanti e nota.</w:t>
      </w:r>
    </w:p>
    <w:p>
      <w:pPr>
        <w:pStyle w:val="ListBullet"/>
      </w:pPr>
      <w:r>
        <w:t>Premere Aggiungi richiesta.</w:t>
      </w:r>
    </w:p>
    <w:p>
      <w:pPr>
        <w:pStyle w:val="ListBullet"/>
      </w:pPr>
      <w:r>
        <w:t>Ripetere l’operazione se nella stessa giornata servono più coperture o più turni.</w:t>
      </w:r>
    </w:p>
    <w:p>
      <w:pPr>
        <w:pStyle w:val="ListBullet"/>
      </w:pPr>
      <w:r>
        <w:t>Usare modifica, duplica o elimina per correggere la giornata.</w:t>
      </w:r>
    </w:p>
    <w:p>
      <w:pPr>
        <w:pStyle w:val="Heading1"/>
        <w:keepNext/>
      </w:pPr>
      <w:r>
        <w:t>4. Salvataggio automatico</w:t>
      </w:r>
    </w:p>
    <w:p>
      <w:pPr>
        <w:pStyle w:val="BodyText"/>
      </w:pPr>
      <w:r>
        <w:t>ATLAS salva automaticamente la bozza nel browser dopo ogni modifica. Sono salvate sia le richieste già aggiunte sia il modulo in compilazione non ancora confermato. La bozza è distinta per utente e mese.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FF5DD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spacing w:after="0"/>
            </w:pPr>
            <w:r>
              <w:rPr>
                <w:b/>
                <w:color w:val="087B9C"/>
                <w:sz w:val="21"/>
              </w:rPr>
              <w:t>Importante</w:t>
              <w:br/>
            </w:r>
            <w:r>
              <w:rPr>
                <w:sz w:val="20"/>
              </w:rPr>
              <w:t>La bozza automatica è locale al dispositivo e al browser. Se il Referente cambia PC o browser, non troverà la stessa bozza finché non avrà inviato definitivamente al RO.</w:t>
            </w:r>
          </w:p>
        </w:tc>
      </w:tr>
    </w:tbl>
    <w:p>
      <w:pPr>
        <w:pStyle w:val="Heading1"/>
        <w:keepNext/>
      </w:pPr>
      <w:r>
        <w:t>5. Riepilogo finale</w:t>
      </w:r>
    </w:p>
    <w:p>
      <w:pPr>
        <w:pStyle w:val="BodyText"/>
      </w:pPr>
      <w:r>
        <w:t>Quando ha finito il mese, il Referente apre Riepilogo finale. Qui vede tutte le richieste raggruppate per giornata e può ancora modificare, duplicare o eliminare. L’invio definitivo è disponibile solo da questa schermata.</w:t>
      </w:r>
    </w:p>
    <w:p>
      <w:pPr>
        <w:pStyle w:val="Heading1"/>
        <w:keepNext/>
      </w:pPr>
      <w:r>
        <w:t>6. Invio al RO</w:t>
      </w:r>
    </w:p>
    <w:p>
      <w:pPr>
        <w:pStyle w:val="ListBullet"/>
      </w:pPr>
      <w:r>
        <w:t>Il pulsante Invia definitivamente al RO salva tutte le righe nel foglio Proposte_Volontari.</w:t>
      </w:r>
    </w:p>
    <w:p>
      <w:pPr>
        <w:pStyle w:val="ListBullet"/>
      </w:pPr>
      <w:r>
        <w:t>Viene inviata una sola mail riepilogativa al Responsabile Operativo.</w:t>
      </w:r>
    </w:p>
    <w:p>
      <w:pPr>
        <w:pStyle w:val="ListBullet"/>
      </w:pPr>
      <w:r>
        <w:t>La bozza locale viene cancellata solo dopo il completamento dell’invio.</w:t>
      </w:r>
    </w:p>
    <w:p>
      <w:pPr>
        <w:pStyle w:val="ListBullet"/>
      </w:pPr>
      <w:r>
        <w:t>L’invio è bloccato se esistono moduli in sospeso non aggiunti o non scartati.</w:t>
      </w:r>
    </w:p>
    <w:p>
      <w:pPr>
        <w:pStyle w:val="Heading1"/>
        <w:keepNext/>
      </w:pPr>
      <w:r>
        <w:t>7. Dimensione caratteri</w:t>
      </w:r>
    </w:p>
    <w:p>
      <w:pPr>
        <w:pStyle w:val="BodyText"/>
      </w:pPr>
      <w:r>
        <w:t>In alto nella pagina sono disponibili i pulsanti A-, 100% e A+. La scelta viene salvata nel browser e resta attiva agli accessi successivi.</w:t>
      </w:r>
    </w:p>
    <w:p>
      <w:pPr>
        <w:pStyle w:val="Heading1"/>
        <w:keepNext/>
      </w:pPr>
      <w:r>
        <w:t>8. Cosa fare in caso di errore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3118"/>
            <w:shd w:fill="0B3448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Messaggio</w:t>
            </w:r>
          </w:p>
        </w:tc>
        <w:tc>
          <w:tcPr>
            <w:tcW w:type="dxa" w:w="6520"/>
            <w:shd w:fill="0B3448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Azione</w:t>
            </w:r>
          </w:p>
        </w:tc>
      </w:tr>
      <w:tr>
        <w:tc>
          <w:tcPr>
            <w:tcW w:type="dxa" w:w="3118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</w:tcPr>
          <w:p>
            <w:r>
              <w:rPr>
                <w:sz w:val="18"/>
              </w:rPr>
              <w:t>Invio non riuscito</w:t>
            </w:r>
          </w:p>
        </w:tc>
        <w:tc>
          <w:tcPr>
            <w:tcW w:type="dxa" w:w="6520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</w:tcPr>
          <w:p>
            <w:r>
              <w:rPr>
                <w:sz w:val="18"/>
              </w:rPr>
              <w:t>Segnalare al RO o Admin il testo completo dell’errore.</w:t>
            </w:r>
          </w:p>
        </w:tc>
      </w:tr>
      <w:tr>
        <w:tc>
          <w:tcPr>
            <w:tcW w:type="dxa" w:w="3118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  <w:shd w:fill="F5F8FA"/>
          </w:tcPr>
          <w:p>
            <w:r>
              <w:rPr>
                <w:sz w:val="18"/>
              </w:rPr>
              <w:t>Moduli in sospeso</w:t>
            </w:r>
          </w:p>
        </w:tc>
        <w:tc>
          <w:tcPr>
            <w:tcW w:type="dxa" w:w="6520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  <w:shd w:fill="F5F8FA"/>
          </w:tcPr>
          <w:p>
            <w:r>
              <w:rPr>
                <w:sz w:val="18"/>
              </w:rPr>
              <w:t>Aprire la giornata evidenziata, completare o scartare il modulo.</w:t>
            </w:r>
          </w:p>
        </w:tc>
      </w:tr>
      <w:tr>
        <w:tc>
          <w:tcPr>
            <w:tcW w:type="dxa" w:w="3118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</w:tcPr>
          <w:p>
            <w:r>
              <w:rPr>
                <w:sz w:val="18"/>
              </w:rPr>
              <w:t>Pagina non aggiornata</w:t>
            </w:r>
          </w:p>
        </w:tc>
        <w:tc>
          <w:tcPr>
            <w:tcW w:type="dxa" w:w="6520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</w:tcPr>
          <w:p>
            <w:r>
              <w:rPr>
                <w:sz w:val="18"/>
              </w:rPr>
              <w:t>Premere Ctrl+F5 o aprire in finestra anonima.</w:t>
            </w:r>
          </w:p>
        </w:tc>
      </w:tr>
      <w:tr>
        <w:tc>
          <w:tcPr>
            <w:tcW w:type="dxa" w:w="3118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  <w:shd w:fill="F5F8FA"/>
          </w:tcPr>
          <w:p>
            <w:r>
              <w:rPr>
                <w:sz w:val="18"/>
              </w:rPr>
              <w:t>Non vedo il calendario</w:t>
            </w:r>
          </w:p>
        </w:tc>
        <w:tc>
          <w:tcPr>
            <w:tcW w:type="dxa" w:w="6520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  <w:shd w:fill="F5F8FA"/>
          </w:tcPr>
          <w:p>
            <w:r>
              <w:rPr>
                <w:sz w:val="18"/>
              </w:rPr>
              <w:t>Verificare di essere entrato con referente.volontari.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22" w:right="879" w:bottom="822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F6E78"/>
        <w:sz w:val="16"/>
      </w:rPr>
      <w:t xml:space="preserve">ATLAS 118 Release 1.0 - Pagina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074"/>
      <w:gridCol w:w="5074"/>
    </w:tblGrid>
    <w:tr>
      <w:tc>
        <w:tcPr>
          <w:tcW w:type="dxa" w:w="5074"/>
          <w:shd w:fill="0B3448"/>
          <w:tcMar>
            <w:top w:w="50" w:type="dxa"/>
            <w:start w:w="90" w:type="dxa"/>
            <w:bottom w:w="50" w:type="dxa"/>
            <w:end w:w="90" w:type="dxa"/>
          </w:tcMar>
        </w:tcPr>
        <w:p>
          <w:r>
            <w:rPr>
              <w:b/>
              <w:color w:val="FFFFFF"/>
              <w:sz w:val="16"/>
            </w:rPr>
            <w:t>ATLAS 118</w:t>
          </w:r>
        </w:p>
      </w:tc>
      <w:tc>
        <w:tcPr>
          <w:tcW w:type="dxa" w:w="5074"/>
          <w:shd w:fill="0B3448"/>
          <w:tcMar>
            <w:top w:w="50" w:type="dxa"/>
            <w:start w:w="90" w:type="dxa"/>
            <w:bottom w:w="50" w:type="dxa"/>
            <w:end w:w="90" w:type="dxa"/>
          </w:tcMar>
        </w:tcPr>
        <w:p>
          <w:pPr>
            <w:jc w:val="right"/>
          </w:pPr>
          <w:r>
            <w:rPr>
              <w:b/>
              <w:color w:val="FFFFFF"/>
              <w:sz w:val="16"/>
            </w:rPr>
            <w:t>Release 1.0 definitiva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B3448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87B9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0B344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Liberation Sans" w:hAnsi="Liberation Sans"/>
      <w:b/>
      <w:color w:val="0B344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/>
    </w:pPr>
    <w:rPr>
      <w:rFonts w:ascii="Liberation Sans" w:hAnsi="Liberation Sans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