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E6005" w14:textId="77777777" w:rsidR="008D6B8B" w:rsidRPr="00550DAA" w:rsidRDefault="008D6B8B" w:rsidP="008D6B8B">
      <w:pPr>
        <w:shd w:val="clear" w:color="auto" w:fill="FFFFFF"/>
        <w:spacing w:after="0" w:line="240" w:lineRule="auto"/>
        <w:outlineLvl w:val="0"/>
        <w:rPr>
          <w:rFonts w:ascii="Georgia" w:eastAsia="Times New Roman" w:hAnsi="Georgia" w:cs="Segoe UI"/>
          <w:b/>
          <w:bCs/>
          <w:kern w:val="36"/>
          <w:sz w:val="48"/>
          <w:szCs w:val="48"/>
        </w:rPr>
      </w:pPr>
      <w:r w:rsidRPr="00550DAA">
        <w:rPr>
          <w:rFonts w:ascii="Georgia" w:eastAsia="Times New Roman" w:hAnsi="Georgia" w:cs="Segoe UI"/>
          <w:b/>
          <w:bCs/>
          <w:kern w:val="36"/>
          <w:sz w:val="48"/>
          <w:szCs w:val="48"/>
        </w:rPr>
        <w:t>Judenräte</w:t>
      </w:r>
    </w:p>
    <w:p w14:paraId="04EBDD18" w14:textId="6F9C539C" w:rsidR="008D6B8B" w:rsidRPr="00550DAA" w:rsidRDefault="00550DAA" w:rsidP="005D79DD">
      <w:pPr>
        <w:shd w:val="clear" w:color="auto" w:fill="FFFFFF"/>
        <w:spacing w:line="240" w:lineRule="auto"/>
        <w:rPr>
          <w:rFonts w:ascii="Georgia" w:eastAsia="Times New Roman" w:hAnsi="Georgia" w:cs="Segoe UI"/>
          <w:sz w:val="24"/>
          <w:szCs w:val="24"/>
        </w:rPr>
      </w:pPr>
      <w:r w:rsidRPr="00550DAA">
        <w:rPr>
          <w:rFonts w:ascii="Georgia" w:eastAsia="Times New Roman" w:hAnsi="Georgia" w:cs="Segoe UI"/>
          <w:sz w:val="24"/>
          <w:szCs w:val="24"/>
        </w:rPr>
        <w:t xml:space="preserve"> Councils were </w:t>
      </w:r>
      <w:r w:rsidR="008D6B8B" w:rsidRPr="00550DAA">
        <w:rPr>
          <w:rFonts w:ascii="Georgia" w:eastAsia="Times New Roman" w:hAnsi="Georgia" w:cs="Segoe UI"/>
          <w:sz w:val="24"/>
          <w:szCs w:val="24"/>
        </w:rPr>
        <w:t>established in German-occupied Poland and eastern Europe during </w:t>
      </w:r>
      <w:hyperlink r:id="rId7" w:history="1">
        <w:r w:rsidR="008D6B8B" w:rsidRPr="00550DAA">
          <w:rPr>
            <w:rFonts w:ascii="Georgia" w:eastAsia="Times New Roman" w:hAnsi="Georgia" w:cs="Segoe UI"/>
            <w:sz w:val="24"/>
            <w:szCs w:val="24"/>
          </w:rPr>
          <w:t>World War II</w:t>
        </w:r>
      </w:hyperlink>
      <w:r w:rsidR="008D6B8B" w:rsidRPr="00550DAA">
        <w:rPr>
          <w:rFonts w:ascii="Georgia" w:eastAsia="Times New Roman" w:hAnsi="Georgia" w:cs="Segoe UI"/>
          <w:sz w:val="24"/>
          <w:szCs w:val="24"/>
        </w:rPr>
        <w:t> to </w:t>
      </w:r>
      <w:hyperlink r:id="rId8" w:history="1">
        <w:r w:rsidR="008D6B8B" w:rsidRPr="00550DAA">
          <w:rPr>
            <w:rFonts w:ascii="Georgia" w:eastAsia="Times New Roman" w:hAnsi="Georgia" w:cs="Segoe UI"/>
            <w:sz w:val="24"/>
            <w:szCs w:val="24"/>
          </w:rPr>
          <w:t>implement</w:t>
        </w:r>
      </w:hyperlink>
      <w:r w:rsidR="008D6B8B" w:rsidRPr="00550DAA">
        <w:rPr>
          <w:rFonts w:ascii="Georgia" w:eastAsia="Times New Roman" w:hAnsi="Georgia" w:cs="Segoe UI"/>
          <w:sz w:val="24"/>
          <w:szCs w:val="24"/>
        </w:rPr>
        <w:t> German policies and maintain order in the </w:t>
      </w:r>
      <w:hyperlink r:id="rId9" w:history="1">
        <w:r w:rsidR="008D6B8B" w:rsidRPr="00550DAA">
          <w:rPr>
            <w:rFonts w:ascii="Georgia" w:eastAsia="Times New Roman" w:hAnsi="Georgia" w:cs="Segoe UI"/>
            <w:sz w:val="24"/>
            <w:szCs w:val="24"/>
          </w:rPr>
          <w:t>ghettos</w:t>
        </w:r>
      </w:hyperlink>
      <w:r w:rsidR="008D6B8B" w:rsidRPr="00550DAA">
        <w:rPr>
          <w:rFonts w:ascii="Georgia" w:eastAsia="Times New Roman" w:hAnsi="Georgia" w:cs="Segoe UI"/>
          <w:sz w:val="24"/>
          <w:szCs w:val="24"/>
        </w:rPr>
        <w:t> to which the Nazis confined the country’s Jewish population. </w:t>
      </w:r>
      <w:hyperlink r:id="rId10" w:history="1">
        <w:r w:rsidR="008D6B8B" w:rsidRPr="00550DAA">
          <w:rPr>
            <w:rFonts w:ascii="Georgia" w:eastAsia="Times New Roman" w:hAnsi="Georgia" w:cs="Segoe UI"/>
            <w:sz w:val="24"/>
            <w:szCs w:val="24"/>
          </w:rPr>
          <w:t>Reinhard Heydrich</w:t>
        </w:r>
      </w:hyperlink>
      <w:r w:rsidR="008D6B8B" w:rsidRPr="00550DAA">
        <w:rPr>
          <w:rFonts w:ascii="Georgia" w:eastAsia="Times New Roman" w:hAnsi="Georgia" w:cs="Segoe UI"/>
          <w:sz w:val="24"/>
          <w:szCs w:val="24"/>
        </w:rPr>
        <w:t>, chief of </w:t>
      </w:r>
      <w:hyperlink r:id="rId11" w:history="1">
        <w:r w:rsidR="008D6B8B" w:rsidRPr="00550DAA">
          <w:rPr>
            <w:rFonts w:ascii="Georgia" w:eastAsia="Times New Roman" w:hAnsi="Georgia" w:cs="Segoe UI"/>
            <w:sz w:val="24"/>
            <w:szCs w:val="24"/>
          </w:rPr>
          <w:t>Nazi</w:t>
        </w:r>
      </w:hyperlink>
      <w:r w:rsidR="008D6B8B" w:rsidRPr="00550DAA">
        <w:rPr>
          <w:rFonts w:ascii="Georgia" w:eastAsia="Times New Roman" w:hAnsi="Georgia" w:cs="Segoe UI"/>
          <w:sz w:val="24"/>
          <w:szCs w:val="24"/>
        </w:rPr>
        <w:t> Germany’s </w:t>
      </w:r>
      <w:hyperlink r:id="rId12" w:history="1">
        <w:r w:rsidR="008D6B8B" w:rsidRPr="00550DAA">
          <w:rPr>
            <w:rFonts w:ascii="Georgia" w:eastAsia="Times New Roman" w:hAnsi="Georgia" w:cs="Segoe UI"/>
            <w:sz w:val="24"/>
            <w:szCs w:val="24"/>
          </w:rPr>
          <w:t>Gestapo</w:t>
        </w:r>
      </w:hyperlink>
      <w:r w:rsidR="008D6B8B" w:rsidRPr="00550DAA">
        <w:rPr>
          <w:rFonts w:ascii="Georgia" w:eastAsia="Times New Roman" w:hAnsi="Georgia" w:cs="Segoe UI"/>
          <w:sz w:val="24"/>
          <w:szCs w:val="24"/>
        </w:rPr>
        <w:t>, established the Judenräte (singular: Judenrat) by decree on September 21, 1939, three weeks after the German invasion of Poland. No aspect of Jewish behavior during the </w:t>
      </w:r>
      <w:hyperlink r:id="rId13" w:history="1">
        <w:r w:rsidR="008D6B8B" w:rsidRPr="00550DAA">
          <w:rPr>
            <w:rFonts w:ascii="Georgia" w:eastAsia="Times New Roman" w:hAnsi="Georgia" w:cs="Segoe UI"/>
            <w:sz w:val="24"/>
            <w:szCs w:val="24"/>
          </w:rPr>
          <w:t>Holocaust</w:t>
        </w:r>
      </w:hyperlink>
      <w:r w:rsidR="008D6B8B" w:rsidRPr="00550DAA">
        <w:rPr>
          <w:rFonts w:ascii="Georgia" w:eastAsia="Times New Roman" w:hAnsi="Georgia" w:cs="Segoe UI"/>
          <w:sz w:val="24"/>
          <w:szCs w:val="24"/>
        </w:rPr>
        <w:t> was more controversial than the conduct of the Judenräte.</w:t>
      </w:r>
    </w:p>
    <w:p w14:paraId="678D86E2" w14:textId="77777777"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The Judenräte were composed of up to 24 Jewish men, chosen from “remaining </w:t>
      </w:r>
      <w:hyperlink r:id="rId14" w:history="1">
        <w:r w:rsidRPr="00550DAA">
          <w:rPr>
            <w:rFonts w:ascii="Georgia" w:eastAsia="Times New Roman" w:hAnsi="Georgia" w:cs="Segoe UI"/>
            <w:sz w:val="24"/>
            <w:szCs w:val="24"/>
          </w:rPr>
          <w:t>authoritative</w:t>
        </w:r>
      </w:hyperlink>
      <w:r w:rsidRPr="00550DAA">
        <w:rPr>
          <w:rFonts w:ascii="Georgia" w:eastAsia="Times New Roman" w:hAnsi="Georgia" w:cs="Segoe UI"/>
          <w:sz w:val="24"/>
          <w:szCs w:val="24"/>
        </w:rPr>
        <w:t> personalities and rabbis.” When the Judenräte were first established, the Jews did not know the ultimate intensions of the Germans toward them nor, according to most scholars, were the intentions of the Germans yet clear. Jewish leaders assumed that their responsibility was to provide for the needs of Jews, who they assumed would remain in the </w:t>
      </w:r>
      <w:hyperlink r:id="rId15" w:history="1">
        <w:r w:rsidRPr="00550DAA">
          <w:rPr>
            <w:rFonts w:ascii="Georgia" w:eastAsia="Times New Roman" w:hAnsi="Georgia" w:cs="Segoe UI"/>
            <w:sz w:val="24"/>
            <w:szCs w:val="24"/>
          </w:rPr>
          <w:t>ghetto</w:t>
        </w:r>
      </w:hyperlink>
      <w:r w:rsidRPr="00550DAA">
        <w:rPr>
          <w:rFonts w:ascii="Georgia" w:eastAsia="Times New Roman" w:hAnsi="Georgia" w:cs="Segoe UI"/>
          <w:sz w:val="24"/>
          <w:szCs w:val="24"/>
        </w:rPr>
        <w:t> indefinitely. The Judenräte became a municipal authority providing sanitation, education, commerce, and food for their increasingly beleaguered </w:t>
      </w:r>
      <w:hyperlink r:id="rId16" w:history="1">
        <w:r w:rsidRPr="00550DAA">
          <w:rPr>
            <w:rFonts w:ascii="Georgia" w:eastAsia="Times New Roman" w:hAnsi="Georgia" w:cs="Segoe UI"/>
            <w:sz w:val="24"/>
            <w:szCs w:val="24"/>
          </w:rPr>
          <w:t>community</w:t>
        </w:r>
      </w:hyperlink>
      <w:r w:rsidRPr="00550DAA">
        <w:rPr>
          <w:rFonts w:ascii="Georgia" w:eastAsia="Times New Roman" w:hAnsi="Georgia" w:cs="Segoe UI"/>
          <w:sz w:val="24"/>
          <w:szCs w:val="24"/>
        </w:rPr>
        <w:t>. With meager resources at their disposal, they struggled to meet the basic needs of starving ghetto residents and to make life bearable. Their German oppressors provided the basis of their power. At first unaware of their people’s fate, in time they understood their role in maintaining </w:t>
      </w:r>
      <w:hyperlink r:id="rId17" w:history="1">
        <w:r w:rsidRPr="00550DAA">
          <w:rPr>
            <w:rFonts w:ascii="Georgia" w:eastAsia="Times New Roman" w:hAnsi="Georgia" w:cs="Segoe UI"/>
            <w:sz w:val="24"/>
            <w:szCs w:val="24"/>
          </w:rPr>
          <w:t>communities</w:t>
        </w:r>
      </w:hyperlink>
      <w:r w:rsidRPr="00550DAA">
        <w:rPr>
          <w:rFonts w:ascii="Georgia" w:eastAsia="Times New Roman" w:hAnsi="Georgia" w:cs="Segoe UI"/>
          <w:sz w:val="24"/>
          <w:szCs w:val="24"/>
        </w:rPr>
        <w:t> destined for annihilation.</w:t>
      </w:r>
    </w:p>
    <w:p w14:paraId="3B7C698A" w14:textId="77777777"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The Judenräte relied on forms of taxation to support their activities. Jewish police forces were established to enforce Judenräte decrees and provide order in the ghetto. The individual Judenräte used different models of governance. In </w:t>
      </w:r>
      <w:hyperlink r:id="rId18" w:history="1">
        <w:r w:rsidRPr="00550DAA">
          <w:rPr>
            <w:rFonts w:ascii="Georgia" w:eastAsia="Times New Roman" w:hAnsi="Georgia" w:cs="Segoe UI"/>
            <w:sz w:val="24"/>
            <w:szCs w:val="24"/>
          </w:rPr>
          <w:t>Warsaw</w:t>
        </w:r>
      </w:hyperlink>
      <w:r w:rsidRPr="00550DAA">
        <w:rPr>
          <w:rFonts w:ascii="Georgia" w:eastAsia="Times New Roman" w:hAnsi="Georgia" w:cs="Segoe UI"/>
          <w:sz w:val="24"/>
          <w:szCs w:val="24"/>
        </w:rPr>
        <w:t xml:space="preserve">, the largest of the ghettos, laissez-faire capitalism was the rule under Judenrat chairman Adam Czerniaków. Private enterprise continued for as long as possible. In Łódź, under the chairmanship of Mordecai Chaim </w:t>
      </w:r>
      <w:proofErr w:type="spellStart"/>
      <w:r w:rsidRPr="00550DAA">
        <w:rPr>
          <w:rFonts w:ascii="Georgia" w:eastAsia="Times New Roman" w:hAnsi="Georgia" w:cs="Segoe UI"/>
          <w:sz w:val="24"/>
          <w:szCs w:val="24"/>
        </w:rPr>
        <w:t>Rumkowski</w:t>
      </w:r>
      <w:proofErr w:type="spellEnd"/>
      <w:r w:rsidRPr="00550DAA">
        <w:rPr>
          <w:rFonts w:ascii="Georgia" w:eastAsia="Times New Roman" w:hAnsi="Georgia" w:cs="Segoe UI"/>
          <w:sz w:val="24"/>
          <w:szCs w:val="24"/>
        </w:rPr>
        <w:t>, authority was more centralized. Commerce, trade, and all municipal services, including the distribution of food and housing, were tightly controlled.</w:t>
      </w:r>
    </w:p>
    <w:p w14:paraId="2EE99A04" w14:textId="77777777"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The level and </w:t>
      </w:r>
      <w:hyperlink r:id="rId19" w:history="1">
        <w:r w:rsidRPr="00550DAA">
          <w:rPr>
            <w:rFonts w:ascii="Georgia" w:eastAsia="Times New Roman" w:hAnsi="Georgia" w:cs="Segoe UI"/>
            <w:sz w:val="24"/>
            <w:szCs w:val="24"/>
          </w:rPr>
          <w:t>tenor</w:t>
        </w:r>
      </w:hyperlink>
      <w:r w:rsidRPr="00550DAA">
        <w:rPr>
          <w:rFonts w:ascii="Georgia" w:eastAsia="Times New Roman" w:hAnsi="Georgia" w:cs="Segoe UI"/>
          <w:sz w:val="24"/>
          <w:szCs w:val="24"/>
        </w:rPr>
        <w:t> of interaction between the Judenräte and the Germans differed ghetto by ghetto, leader by leader, and meeting by meeting. Some meetings with Nazi officials were courteous and might even appear friendly, others were harsh and threatening. Generally, the Germans would make demands of the Judenräte, who, in return, would beg for supplies and relief on behalf of their beleaguered populations.</w:t>
      </w:r>
    </w:p>
    <w:p w14:paraId="52C65ED9" w14:textId="77777777"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Among the ghetto residents, the Judenräte often drew anger. Many viewed their role in enforcing German decrees and conditions as indistinguishable from the role of the Germans who had ordered them. This anger grew when conditions in the ghettos deteriorated under an intensified German campaign of deprivation.</w:t>
      </w:r>
    </w:p>
    <w:p w14:paraId="1F318B0B" w14:textId="77777777"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Perhaps the defining test of the </w:t>
      </w:r>
      <w:hyperlink r:id="rId20" w:history="1">
        <w:r w:rsidRPr="00550DAA">
          <w:rPr>
            <w:rFonts w:ascii="Georgia" w:eastAsia="Times New Roman" w:hAnsi="Georgia" w:cs="Segoe UI"/>
            <w:sz w:val="24"/>
            <w:szCs w:val="24"/>
          </w:rPr>
          <w:t>courage</w:t>
        </w:r>
      </w:hyperlink>
      <w:r w:rsidRPr="00550DAA">
        <w:rPr>
          <w:rFonts w:ascii="Georgia" w:eastAsia="Times New Roman" w:hAnsi="Georgia" w:cs="Segoe UI"/>
          <w:sz w:val="24"/>
          <w:szCs w:val="24"/>
        </w:rPr>
        <w:t> and the character of Judenrat leaders occurred when the Germans ordered lists drawn up indicating those to be protected by work permits and those to be deported to </w:t>
      </w:r>
      <w:hyperlink r:id="rId21" w:history="1">
        <w:r w:rsidRPr="00550DAA">
          <w:rPr>
            <w:rFonts w:ascii="Georgia" w:eastAsia="Times New Roman" w:hAnsi="Georgia" w:cs="Segoe UI"/>
            <w:sz w:val="24"/>
            <w:szCs w:val="24"/>
          </w:rPr>
          <w:t>concentration camps</w:t>
        </w:r>
      </w:hyperlink>
      <w:r w:rsidRPr="00550DAA">
        <w:rPr>
          <w:rFonts w:ascii="Georgia" w:eastAsia="Times New Roman" w:hAnsi="Georgia" w:cs="Segoe UI"/>
          <w:sz w:val="24"/>
          <w:szCs w:val="24"/>
        </w:rPr>
        <w:t xml:space="preserve">. Judenrat members knew that deportation meant near-certain death. Thus, while the Judenräte used tactics such as bribery, postponement, importuning, and appeasement to secure work permits for as </w:t>
      </w:r>
      <w:r w:rsidRPr="00550DAA">
        <w:rPr>
          <w:rFonts w:ascii="Georgia" w:eastAsia="Times New Roman" w:hAnsi="Georgia" w:cs="Segoe UI"/>
          <w:sz w:val="24"/>
          <w:szCs w:val="24"/>
        </w:rPr>
        <w:lastRenderedPageBreak/>
        <w:t>many residents as possible, only a specified number of work permits were available and decisions were required. This became especially wrenching when it came to children and the elderly, who were incapable of working.</w:t>
      </w:r>
    </w:p>
    <w:p w14:paraId="4AAFE12A" w14:textId="1C452C25"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 xml:space="preserve">In Łódź, </w:t>
      </w:r>
      <w:r w:rsidR="0033352B" w:rsidRPr="00550DAA">
        <w:rPr>
          <w:rFonts w:ascii="Georgia" w:eastAsia="Times New Roman" w:hAnsi="Georgia" w:cs="Segoe UI"/>
          <w:sz w:val="24"/>
          <w:szCs w:val="24"/>
        </w:rPr>
        <w:t>Rutkowski</w:t>
      </w:r>
      <w:r w:rsidRPr="00550DAA">
        <w:rPr>
          <w:rFonts w:ascii="Georgia" w:eastAsia="Times New Roman" w:hAnsi="Georgia" w:cs="Segoe UI"/>
          <w:sz w:val="24"/>
          <w:szCs w:val="24"/>
        </w:rPr>
        <w:t xml:space="preserve"> cooperated with the deportations. He argued, “I must cut off the limbs to save the body itself. I must take the children because if not, others will be taken as well. The part that can be saved is much larger than the part that must be given away.” Similar decisions were made by Judenrat leaders in Vilna (now Vilnius, Lithuania) and Sosnowiec.</w:t>
      </w:r>
    </w:p>
    <w:p w14:paraId="585DDCA0" w14:textId="77777777"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In Warsaw, Czerniaków committed suicide rather than participate in the deportation of children and the liquidation of the entire ghetto. “They have asked me to kill the children with my own hands,” he said in despair. To some Jews, Czerniaków’s suicide was an act of </w:t>
      </w:r>
      <w:hyperlink r:id="rId22" w:history="1">
        <w:r w:rsidRPr="00550DAA">
          <w:rPr>
            <w:rFonts w:ascii="Georgia" w:eastAsia="Times New Roman" w:hAnsi="Georgia" w:cs="Segoe UI"/>
            <w:sz w:val="24"/>
            <w:szCs w:val="24"/>
          </w:rPr>
          <w:t>integrity</w:t>
        </w:r>
      </w:hyperlink>
      <w:r w:rsidRPr="00550DAA">
        <w:rPr>
          <w:rFonts w:ascii="Georgia" w:eastAsia="Times New Roman" w:hAnsi="Georgia" w:cs="Segoe UI"/>
          <w:sz w:val="24"/>
          <w:szCs w:val="24"/>
        </w:rPr>
        <w:t>. Others saw it as a sign of weakness and condemned his failure to call for resistance.</w:t>
      </w:r>
    </w:p>
    <w:p w14:paraId="23E5D432" w14:textId="668336A1"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 xml:space="preserve">Leaders who openly refused to cooperate in delivering their own people to concentration camps soon paid with their lives. Dr. Joseph Parnas, first Judenrat leader of  Lviv, Ukraine, refused an order to deport thousands of Jews and was shot, as were several other Judenrat leaders. Megalif, the leader of the Judenrat at </w:t>
      </w:r>
      <w:proofErr w:type="spellStart"/>
      <w:r w:rsidRPr="00550DAA">
        <w:rPr>
          <w:rFonts w:ascii="Georgia" w:eastAsia="Times New Roman" w:hAnsi="Georgia" w:cs="Segoe UI"/>
          <w:sz w:val="24"/>
          <w:szCs w:val="24"/>
        </w:rPr>
        <w:t>Nieśvież</w:t>
      </w:r>
      <w:proofErr w:type="spellEnd"/>
      <w:r w:rsidRPr="00550DAA">
        <w:rPr>
          <w:rFonts w:ascii="Georgia" w:eastAsia="Times New Roman" w:hAnsi="Georgia" w:cs="Segoe UI"/>
          <w:sz w:val="24"/>
          <w:szCs w:val="24"/>
        </w:rPr>
        <w:t xml:space="preserve"> (now Nesvizh, Belarus), marched to his death rather than participate in the deportation.</w:t>
      </w:r>
    </w:p>
    <w:p w14:paraId="430A557C" w14:textId="77777777"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When the Germans ordered the final liquidation of the </w:t>
      </w:r>
      <w:hyperlink r:id="rId23" w:history="1">
        <w:r w:rsidRPr="00550DAA">
          <w:rPr>
            <w:rFonts w:ascii="Georgia" w:eastAsia="Times New Roman" w:hAnsi="Georgia" w:cs="Segoe UI"/>
            <w:sz w:val="24"/>
            <w:szCs w:val="24"/>
          </w:rPr>
          <w:t>ghetto</w:t>
        </w:r>
      </w:hyperlink>
      <w:r w:rsidRPr="00550DAA">
        <w:rPr>
          <w:rFonts w:ascii="Georgia" w:eastAsia="Times New Roman" w:hAnsi="Georgia" w:cs="Segoe UI"/>
          <w:sz w:val="24"/>
          <w:szCs w:val="24"/>
        </w:rPr>
        <w:t xml:space="preserve">, there could be little pretense that many Jews could be saved. The Jewish resistance in several ghettos began to take control. While some Judenrat leaders, such as Dr. </w:t>
      </w:r>
      <w:proofErr w:type="spellStart"/>
      <w:r w:rsidRPr="00550DAA">
        <w:rPr>
          <w:rFonts w:ascii="Georgia" w:eastAsia="Times New Roman" w:hAnsi="Georgia" w:cs="Segoe UI"/>
          <w:sz w:val="24"/>
          <w:szCs w:val="24"/>
        </w:rPr>
        <w:t>Elchanan</w:t>
      </w:r>
      <w:proofErr w:type="spellEnd"/>
      <w:r w:rsidRPr="00550DAA">
        <w:rPr>
          <w:rFonts w:ascii="Georgia" w:eastAsia="Times New Roman" w:hAnsi="Georgia" w:cs="Segoe UI"/>
          <w:sz w:val="24"/>
          <w:szCs w:val="24"/>
        </w:rPr>
        <w:t xml:space="preserve"> </w:t>
      </w:r>
      <w:proofErr w:type="spellStart"/>
      <w:r w:rsidRPr="00550DAA">
        <w:rPr>
          <w:rFonts w:ascii="Georgia" w:eastAsia="Times New Roman" w:hAnsi="Georgia" w:cs="Segoe UI"/>
          <w:sz w:val="24"/>
          <w:szCs w:val="24"/>
        </w:rPr>
        <w:t>Elkes</w:t>
      </w:r>
      <w:proofErr w:type="spellEnd"/>
      <w:r w:rsidRPr="00550DAA">
        <w:rPr>
          <w:rFonts w:ascii="Georgia" w:eastAsia="Times New Roman" w:hAnsi="Georgia" w:cs="Segoe UI"/>
          <w:sz w:val="24"/>
          <w:szCs w:val="24"/>
        </w:rPr>
        <w:t xml:space="preserve"> of </w:t>
      </w:r>
      <w:proofErr w:type="spellStart"/>
      <w:r w:rsidRPr="00550DAA">
        <w:rPr>
          <w:rFonts w:ascii="Georgia" w:eastAsia="Times New Roman" w:hAnsi="Georgia" w:cs="Segoe UI"/>
          <w:sz w:val="24"/>
          <w:szCs w:val="24"/>
        </w:rPr>
        <w:t>Kovno</w:t>
      </w:r>
      <w:proofErr w:type="spellEnd"/>
      <w:r w:rsidRPr="00550DAA">
        <w:rPr>
          <w:rFonts w:ascii="Georgia" w:eastAsia="Times New Roman" w:hAnsi="Georgia" w:cs="Segoe UI"/>
          <w:sz w:val="24"/>
          <w:szCs w:val="24"/>
        </w:rPr>
        <w:t xml:space="preserve"> (now Kaunas, Lithuania) and his counterpart in Minsk (now in Belarus), Eliyahu </w:t>
      </w:r>
      <w:proofErr w:type="spellStart"/>
      <w:r w:rsidRPr="00550DAA">
        <w:rPr>
          <w:rFonts w:ascii="Georgia" w:eastAsia="Times New Roman" w:hAnsi="Georgia" w:cs="Segoe UI"/>
          <w:sz w:val="24"/>
          <w:szCs w:val="24"/>
        </w:rPr>
        <w:t>Mushkin</w:t>
      </w:r>
      <w:proofErr w:type="spellEnd"/>
      <w:r w:rsidRPr="00550DAA">
        <w:rPr>
          <w:rFonts w:ascii="Georgia" w:eastAsia="Times New Roman" w:hAnsi="Georgia" w:cs="Segoe UI"/>
          <w:sz w:val="24"/>
          <w:szCs w:val="24"/>
        </w:rPr>
        <w:t>, cooperated with the underground and the resistance, most Judenrat leaders considered the resistance a threat to their efforts to maintain order and sustain the ghettos. As a consequence, Judenrat leaders and Jewish police were often the first to be assassinated by the Jewish resistance, even before direct battle with the Germans.</w:t>
      </w:r>
    </w:p>
    <w:p w14:paraId="7E7E4F48" w14:textId="0D5F7BA2" w:rsidR="008D6B8B" w:rsidRPr="00550DAA" w:rsidRDefault="008D6B8B" w:rsidP="005D79DD">
      <w:pPr>
        <w:shd w:val="clear" w:color="auto" w:fill="FFFFFF"/>
        <w:spacing w:after="100" w:afterAutospacing="1" w:line="240" w:lineRule="auto"/>
        <w:rPr>
          <w:rFonts w:ascii="Georgia" w:eastAsia="Times New Roman" w:hAnsi="Georgia" w:cs="Segoe UI"/>
          <w:sz w:val="24"/>
          <w:szCs w:val="24"/>
        </w:rPr>
      </w:pPr>
      <w:r w:rsidRPr="00550DAA">
        <w:rPr>
          <w:rFonts w:ascii="Georgia" w:eastAsia="Times New Roman" w:hAnsi="Georgia" w:cs="Segoe UI"/>
          <w:sz w:val="24"/>
          <w:szCs w:val="24"/>
        </w:rPr>
        <w:t>At the end of the war, virtually all Judenrat leaders, regardless of their level of </w:t>
      </w:r>
      <w:hyperlink r:id="rId24" w:history="1">
        <w:r w:rsidRPr="00550DAA">
          <w:rPr>
            <w:rFonts w:ascii="Georgia" w:eastAsia="Times New Roman" w:hAnsi="Georgia" w:cs="Segoe UI"/>
            <w:sz w:val="24"/>
            <w:szCs w:val="24"/>
          </w:rPr>
          <w:t>accommodation</w:t>
        </w:r>
      </w:hyperlink>
      <w:r w:rsidRPr="00550DAA">
        <w:rPr>
          <w:rFonts w:ascii="Georgia" w:eastAsia="Times New Roman" w:hAnsi="Georgia" w:cs="Segoe UI"/>
          <w:sz w:val="24"/>
          <w:szCs w:val="24"/>
        </w:rPr>
        <w:t xml:space="preserve"> with the Germans, were dead. </w:t>
      </w:r>
    </w:p>
    <w:p w14:paraId="7F258E20" w14:textId="77777777" w:rsidR="00434B70" w:rsidRPr="00550DAA" w:rsidRDefault="00434B70" w:rsidP="005D79DD">
      <w:bookmarkStart w:id="0" w:name="_GoBack"/>
      <w:bookmarkEnd w:id="0"/>
    </w:p>
    <w:sectPr w:rsidR="00434B70" w:rsidRPr="00550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B8B"/>
    <w:rsid w:val="00160D05"/>
    <w:rsid w:val="0033352B"/>
    <w:rsid w:val="00434B70"/>
    <w:rsid w:val="00550DAA"/>
    <w:rsid w:val="005D79DD"/>
    <w:rsid w:val="007401CE"/>
    <w:rsid w:val="008D6B8B"/>
    <w:rsid w:val="009549A0"/>
    <w:rsid w:val="00BB1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B21BD"/>
  <w15:chartTrackingRefBased/>
  <w15:docId w15:val="{1AF29BA0-63DA-4ABE-849D-F53C1D05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120100">
      <w:bodyDiv w:val="1"/>
      <w:marLeft w:val="0"/>
      <w:marRight w:val="0"/>
      <w:marTop w:val="0"/>
      <w:marBottom w:val="0"/>
      <w:divBdr>
        <w:top w:val="none" w:sz="0" w:space="0" w:color="auto"/>
        <w:left w:val="none" w:sz="0" w:space="0" w:color="auto"/>
        <w:bottom w:val="none" w:sz="0" w:space="0" w:color="auto"/>
        <w:right w:val="none" w:sz="0" w:space="0" w:color="auto"/>
      </w:divBdr>
      <w:divsChild>
        <w:div w:id="1539393598">
          <w:marLeft w:val="0"/>
          <w:marRight w:val="0"/>
          <w:marTop w:val="0"/>
          <w:marBottom w:val="0"/>
          <w:divBdr>
            <w:top w:val="none" w:sz="0" w:space="0" w:color="auto"/>
            <w:left w:val="none" w:sz="0" w:space="0" w:color="auto"/>
            <w:bottom w:val="none" w:sz="0" w:space="0" w:color="auto"/>
            <w:right w:val="none" w:sz="0" w:space="0" w:color="auto"/>
          </w:divBdr>
          <w:divsChild>
            <w:div w:id="1809084429">
              <w:marLeft w:val="0"/>
              <w:marRight w:val="0"/>
              <w:marTop w:val="0"/>
              <w:marBottom w:val="0"/>
              <w:divBdr>
                <w:top w:val="none" w:sz="0" w:space="0" w:color="auto"/>
                <w:left w:val="none" w:sz="0" w:space="0" w:color="auto"/>
                <w:bottom w:val="none" w:sz="0" w:space="0" w:color="auto"/>
                <w:right w:val="none" w:sz="0" w:space="0" w:color="auto"/>
              </w:divBdr>
              <w:divsChild>
                <w:div w:id="1647853925">
                  <w:marLeft w:val="0"/>
                  <w:marRight w:val="0"/>
                  <w:marTop w:val="0"/>
                  <w:marBottom w:val="0"/>
                  <w:divBdr>
                    <w:top w:val="none" w:sz="0" w:space="0" w:color="auto"/>
                    <w:left w:val="none" w:sz="0" w:space="0" w:color="auto"/>
                    <w:bottom w:val="none" w:sz="0" w:space="0" w:color="auto"/>
                    <w:right w:val="none" w:sz="0" w:space="0" w:color="auto"/>
                  </w:divBdr>
                  <w:divsChild>
                    <w:div w:id="21176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981">
              <w:marLeft w:val="0"/>
              <w:marRight w:val="0"/>
              <w:marTop w:val="150"/>
              <w:marBottom w:val="150"/>
              <w:divBdr>
                <w:top w:val="none" w:sz="0" w:space="0" w:color="auto"/>
                <w:left w:val="none" w:sz="0" w:space="0" w:color="auto"/>
                <w:bottom w:val="none" w:sz="0" w:space="0" w:color="auto"/>
                <w:right w:val="none" w:sz="0" w:space="0" w:color="auto"/>
              </w:divBdr>
            </w:div>
            <w:div w:id="827523341">
              <w:marLeft w:val="0"/>
              <w:marRight w:val="0"/>
              <w:marTop w:val="0"/>
              <w:marBottom w:val="150"/>
              <w:divBdr>
                <w:top w:val="none" w:sz="0" w:space="0" w:color="auto"/>
                <w:left w:val="none" w:sz="0" w:space="0" w:color="auto"/>
                <w:bottom w:val="none" w:sz="0" w:space="0" w:color="auto"/>
                <w:right w:val="none" w:sz="0" w:space="0" w:color="auto"/>
              </w:divBdr>
            </w:div>
          </w:divsChild>
        </w:div>
        <w:div w:id="344946406">
          <w:marLeft w:val="0"/>
          <w:marRight w:val="0"/>
          <w:marTop w:val="0"/>
          <w:marBottom w:val="0"/>
          <w:divBdr>
            <w:top w:val="none" w:sz="0" w:space="0" w:color="auto"/>
            <w:left w:val="none" w:sz="0" w:space="0" w:color="auto"/>
            <w:bottom w:val="none" w:sz="0" w:space="0" w:color="auto"/>
            <w:right w:val="none" w:sz="0" w:space="0" w:color="auto"/>
          </w:divBdr>
          <w:divsChild>
            <w:div w:id="38435445">
              <w:marLeft w:val="300"/>
              <w:marRight w:val="0"/>
              <w:marTop w:val="0"/>
              <w:marBottom w:val="300"/>
              <w:divBdr>
                <w:top w:val="single" w:sz="6" w:space="15" w:color="DDDDDD"/>
                <w:left w:val="single" w:sz="6" w:space="15" w:color="DDDDDD"/>
                <w:bottom w:val="single" w:sz="6" w:space="15" w:color="DDDDDD"/>
                <w:right w:val="single" w:sz="6" w:space="15" w:color="DDDDDD"/>
              </w:divBdr>
              <w:divsChild>
                <w:div w:id="347949000">
                  <w:marLeft w:val="0"/>
                  <w:marRight w:val="0"/>
                  <w:marTop w:val="0"/>
                  <w:marBottom w:val="0"/>
                  <w:divBdr>
                    <w:top w:val="none" w:sz="0" w:space="0" w:color="auto"/>
                    <w:left w:val="none" w:sz="0" w:space="0" w:color="auto"/>
                    <w:bottom w:val="none" w:sz="0" w:space="0" w:color="auto"/>
                    <w:right w:val="none" w:sz="0" w:space="0" w:color="auto"/>
                  </w:divBdr>
                </w:div>
                <w:div w:id="16818531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implement" TargetMode="External"/><Relationship Id="rId13" Type="http://schemas.openxmlformats.org/officeDocument/2006/relationships/hyperlink" Target="https://www.britannica.com/event/Holocaust" TargetMode="External"/><Relationship Id="rId18" Type="http://schemas.openxmlformats.org/officeDocument/2006/relationships/hyperlink" Target="https://www.britannica.com/place/Warsaw"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britannica.com/topic/concentration-camp" TargetMode="External"/><Relationship Id="rId7" Type="http://schemas.openxmlformats.org/officeDocument/2006/relationships/hyperlink" Target="https://www.britannica.com/event/World-War-II" TargetMode="External"/><Relationship Id="rId12" Type="http://schemas.openxmlformats.org/officeDocument/2006/relationships/hyperlink" Target="https://www.britannica.com/topic/Gestapo" TargetMode="External"/><Relationship Id="rId17" Type="http://schemas.openxmlformats.org/officeDocument/2006/relationships/hyperlink" Target="https://www.merriam-webster.com/dictionary/communitie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merriam-webster.com/dictionary/community" TargetMode="External"/><Relationship Id="rId20" Type="http://schemas.openxmlformats.org/officeDocument/2006/relationships/hyperlink" Target="https://www.britannica.com/dictionary/courag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ritannica.com/topic/Nazi-Party" TargetMode="External"/><Relationship Id="rId24" Type="http://schemas.openxmlformats.org/officeDocument/2006/relationships/hyperlink" Target="https://www.britannica.com/dictionary/accommodation" TargetMode="External"/><Relationship Id="rId5" Type="http://schemas.openxmlformats.org/officeDocument/2006/relationships/settings" Target="settings.xml"/><Relationship Id="rId15" Type="http://schemas.openxmlformats.org/officeDocument/2006/relationships/hyperlink" Target="https://www.britannica.com/topic/ghetto" TargetMode="External"/><Relationship Id="rId23" Type="http://schemas.openxmlformats.org/officeDocument/2006/relationships/hyperlink" Target="https://www.britannica.com/dictionary/ghetto" TargetMode="External"/><Relationship Id="rId10" Type="http://schemas.openxmlformats.org/officeDocument/2006/relationships/hyperlink" Target="https://www.britannica.com/biography/Reinhard-Heydrich" TargetMode="External"/><Relationship Id="rId19" Type="http://schemas.openxmlformats.org/officeDocument/2006/relationships/hyperlink" Target="https://www.britannica.com/dictionary/tenor" TargetMode="External"/><Relationship Id="rId4" Type="http://schemas.openxmlformats.org/officeDocument/2006/relationships/styles" Target="styles.xml"/><Relationship Id="rId9" Type="http://schemas.openxmlformats.org/officeDocument/2006/relationships/hyperlink" Target="https://www.britannica.com/topic/ghetto" TargetMode="External"/><Relationship Id="rId14" Type="http://schemas.openxmlformats.org/officeDocument/2006/relationships/hyperlink" Target="https://www.merriam-webster.com/dictionary/authoritative" TargetMode="External"/><Relationship Id="rId22" Type="http://schemas.openxmlformats.org/officeDocument/2006/relationships/hyperlink" Target="https://www.merriam-webster.com/dictionary/integ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1" ma:contentTypeDescription="Create a new document." ma:contentTypeScope="" ma:versionID="95abcfbeb58cf93e7695fee3e1c31f7f">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5ccdf3ab119fb100556757bffad60810"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element name="MediaLengthInSeconds" ma:index="3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72A52F-F494-48A4-ACFF-44CBF147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C2BC3B-6727-4D15-8274-DB37475F8CE6}">
  <ds:schemaRefs>
    <ds:schemaRef ds:uri="http://schemas.microsoft.com/office/2006/metadata/properties"/>
    <ds:schemaRef ds:uri="http://schemas.microsoft.com/office/infopath/2007/PartnerControls"/>
    <ds:schemaRef ds:uri="c6ccb7aa-ff4d-4f88-acae-222ac2230cfc"/>
  </ds:schemaRefs>
</ds:datastoreItem>
</file>

<file path=customXml/itemProps3.xml><?xml version="1.0" encoding="utf-8"?>
<ds:datastoreItem xmlns:ds="http://schemas.openxmlformats.org/officeDocument/2006/customXml" ds:itemID="{1D1B8664-E964-4F07-AC57-43C3F52961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dcterms:created xsi:type="dcterms:W3CDTF">2022-05-13T15:06:00Z</dcterms:created>
  <dcterms:modified xsi:type="dcterms:W3CDTF">2022-05-13T15:06:00Z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