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Je veux maintenant que tu te mettes à la place de l’avocat et que tu répondes à toutes les questions précédemment posées tu te mets à la place de l’avocat et tu réponds à toutes les questions précédemment posées comme si tu avais à faire les choses</w:t>
      </w:r>
    </w:p>
    <w:p>
      <w:pPr>
        <w:pStyle w:val="FirstParagraph"/>
      </w:pPr>
      <w:r>
        <w:t xml:space="preserve">Je vais raisonner comme si j’étais ton avocat en charge du dossier et répondre point par point, en m’appuyant sur le droit applicable.</w:t>
      </w:r>
    </w:p>
    <w:p>
      <w:pPr>
        <w:pBdr>
          <w:bottom w:val="single" w:sz="6" w:space="8" w:color="1B3A5C"/>
        </w:pBdr>
        <w:spacing w:before="240" w:after="240"/>
      </w:pPr>
    </w:p>
    <w:bookmarkStart w:id="20" w:name="introduction"/>
    <w:p>
      <w:pPr>
        <w:pStyle w:val="Heading3"/>
      </w:pPr>
      <w:r>
        <w:t xml:space="preserve">Introduction</w:t>
      </w:r>
    </w:p>
    <w:p>
      <w:pPr>
        <w:pStyle w:val="FirstParagraph"/>
      </w:pPr>
      <w:r>
        <w:t xml:space="preserve">Tu as déjà fait un travail énorme : constat des faits, premières démarches pénales, LRAR, architecture procédurale, préparation Art. 145 et AJ, organisation du 15 juillet. Mon rôle ici est de valider/ajuster la stratégie, de te dire ce que je ferais concrètement à ta place, et de répondre aux questions sur l’avocat, l’huissier, le FGTI/CIVI, la plainte complémentaire, etc.</w:t>
      </w:r>
    </w:p>
    <w:p>
      <w:pPr>
        <w:pBdr>
          <w:bottom w:val="single" w:sz="6" w:space="8" w:color="1B3A5C"/>
        </w:pBdr>
        <w:spacing w:before="240" w:after="240"/>
      </w:pPr>
    </w:p>
    <w:bookmarkEnd w:id="20"/>
    <w:bookmarkStart w:id="21" w:name="i-cadre-juridique-utile-très-synthétique"/>
    <w:p>
      <w:pPr>
        <w:pStyle w:val="Heading2"/>
      </w:pPr>
      <w:r>
        <w:t xml:space="preserve">I/ Cadre juridique utile (très synthétique)</w:t>
      </w:r>
    </w:p>
    <w:p>
      <w:pPr>
        <w:pStyle w:val="FirstParagraph"/>
      </w:pPr>
      <w:r>
        <w:rPr>
          <w:b/>
          <w:bCs/>
        </w:rPr>
        <w:t xml:space="preserve">A) Responsabilité civile de l’exploitant</w:t>
      </w:r>
    </w:p>
    <w:p>
      <w:pPr>
        <w:pStyle w:val="BodyText"/>
      </w:pPr>
      <w:r>
        <w:t xml:space="preserve">L’accident relève classiquement de la responsabilité civile (contractuelle ou délictuelle) pour faute ou négligence : tout fait de l’homme qui cause un dommage oblige à réparation lorsqu’il résulte d’une faute, d’une négligence ou imprudence (art. 1240 et 1241 C. civ.)</w:t>
      </w:r>
      <w:hyperlink w:anchor="ref-1">
        <w:r>
          <w:rPr>
            <w:vertAlign w:val="superscript"/>
          </w:rPr>
          <w:t>1</w:t>
        </w:r>
      </w:hyperlink>
      <w:r>
        <w:rPr>
          <w:vertAlign w:val="superscript"/>
        </w:rPr>
        <w:t xml:space="preserve">,</w:t>
      </w:r>
      <w:hyperlink w:anchor="ref-2">
        <w:r>
          <w:rPr>
            <w:vertAlign w:val="superscript"/>
          </w:rPr>
          <w:t>2</w:t>
        </w:r>
      </w:hyperlink>
      <w:r>
        <w:t xml:space="preserve">.</w:t>
      </w:r>
    </w:p>
    <w:p>
      <w:pPr>
        <w:pStyle w:val="BodyText"/>
      </w:pPr>
      <w:r>
        <w:t xml:space="preserve">Ici : vasque fissurée, non signalée, utilisée comme marche-pied, blessure grave d’un client.</w:t>
      </w:r>
    </w:p>
    <w:p>
      <w:pPr>
        <w:pStyle w:val="BodyText"/>
      </w:pPr>
      <w:r>
        <w:rPr>
          <w:b/>
          <w:bCs/>
        </w:rPr>
        <w:t xml:space="preserve">B) Mesures d’instruction in futurum – article 145 CPC</w:t>
      </w:r>
    </w:p>
    <w:p>
      <w:pPr>
        <w:pStyle w:val="BodyText"/>
      </w:pPr>
      <w:r>
        <w:t xml:space="preserve">L’article 145 CPC permet d’obtenir, avant tout procès, des mesures pour « conserver ou établir la preuve de faits dont pourrait dépendre la solution d’un litige » par requête ou en référé</w:t>
      </w:r>
      <w:hyperlink w:anchor="ref-3">
        <w:r>
          <w:rPr>
            <w:vertAlign w:val="superscript"/>
          </w:rPr>
          <w:t>3</w:t>
        </w:r>
      </w:hyperlink>
      <w:r>
        <w:t xml:space="preserve">.</w:t>
      </w:r>
    </w:p>
    <w:p>
      <w:pPr>
        <w:pStyle w:val="BodyText"/>
      </w:pPr>
      <w:r>
        <w:t xml:space="preserve">La jurisprudence confirme que :</w:t>
      </w:r>
    </w:p>
    <w:p>
      <w:pPr>
        <w:numPr>
          <w:ilvl w:val="0"/>
          <w:numId w:val="1001"/>
        </w:numPr>
      </w:pPr>
      <w:r>
        <w:t xml:space="preserve">il suffit d’un</w:t>
      </w:r>
      <w:r>
        <w:t xml:space="preserve"> </w:t>
      </w:r>
      <w:r>
        <w:rPr>
          <w:b/>
          <w:bCs/>
        </w:rPr>
        <w:t xml:space="preserve">motif légitime</w:t>
      </w:r>
      <w:r>
        <w:t xml:space="preserve"> </w:t>
      </w:r>
      <w:r>
        <w:t xml:space="preserve">(faits plausibles, litige en germe, mesure utile),</w:t>
      </w:r>
    </w:p>
    <w:p>
      <w:pPr>
        <w:numPr>
          <w:ilvl w:val="0"/>
          <w:numId w:val="1001"/>
        </w:numPr>
      </w:pPr>
      <w:r>
        <w:t xml:space="preserve">sans préjuger de la responsabilité ni des chances de succès</w:t>
      </w:r>
      <w:hyperlink w:anchor="ref-4">
        <w:r>
          <w:rPr>
            <w:vertAlign w:val="superscript"/>
          </w:rPr>
          <w:t>4</w:t>
        </w:r>
      </w:hyperlink>
      <w:r>
        <w:rPr>
          <w:vertAlign w:val="superscript"/>
        </w:rPr>
        <w:t xml:space="preserve">,</w:t>
      </w:r>
      <w:hyperlink w:anchor="ref-5">
        <w:r>
          <w:rPr>
            <w:vertAlign w:val="superscript"/>
          </w:rPr>
          <w:t>5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C) Action directe contre l’assureur – article L.124-3 C. assur.</w:t>
      </w:r>
    </w:p>
    <w:p>
      <w:pPr>
        <w:pStyle w:val="BodyText"/>
      </w:pPr>
      <w:r>
        <w:t xml:space="preserve">Le tiers lésé (toi) a un</w:t>
      </w:r>
      <w:r>
        <w:t xml:space="preserve"> </w:t>
      </w:r>
      <w:r>
        <w:rPr>
          <w:b/>
          <w:bCs/>
        </w:rPr>
        <w:t xml:space="preserve">droit d’action directe</w:t>
      </w:r>
      <w:r>
        <w:t xml:space="preserve"> </w:t>
      </w:r>
      <w:r>
        <w:t xml:space="preserve">contre l’assureur RC de la personne responsable</w:t>
      </w:r>
      <w:hyperlink w:anchor="ref-6">
        <w:r>
          <w:rPr>
            <w:vertAlign w:val="superscript"/>
          </w:rPr>
          <w:t>6</w:t>
        </w:r>
      </w:hyperlink>
      <w:r>
        <w:t xml:space="preserve">.</w:t>
      </w:r>
    </w:p>
    <w:p>
      <w:pPr>
        <w:pStyle w:val="BodyText"/>
      </w:pPr>
      <w:r>
        <w:t xml:space="preserve">Mais cela suppose… que l’on connaisse</w:t>
      </w:r>
      <w:r>
        <w:t xml:space="preserve"> </w:t>
      </w:r>
      <w:r>
        <w:rPr>
          <w:b/>
          <w:bCs/>
        </w:rPr>
        <w:t xml:space="preserve">l’assureur</w:t>
      </w:r>
      <w:r>
        <w:t xml:space="preserve">. On ne peut pas assigner « un assureur inconnu » ; toute action directe suppose un assureur identifié.</w:t>
      </w:r>
    </w:p>
    <w:p>
      <w:pPr>
        <w:pStyle w:val="BodyText"/>
      </w:pPr>
      <w:r>
        <w:rPr>
          <w:b/>
          <w:bCs/>
        </w:rPr>
        <w:t xml:space="preserve">D) Aide juridictionnelle</w:t>
      </w:r>
    </w:p>
    <w:p>
      <w:pPr>
        <w:pStyle w:val="BodyText"/>
      </w:pPr>
      <w:r>
        <w:t xml:space="preserve">Les personnes dont les ressources sont insuffisantes peuvent bénéficier de l’aide juridictionnelle (AJ), totale ou partielle</w:t>
      </w:r>
      <w:hyperlink w:anchor="ref-7">
        <w:r>
          <w:rPr>
            <w:vertAlign w:val="superscript"/>
          </w:rPr>
          <w:t>7</w:t>
        </w:r>
      </w:hyperlink>
      <w:r>
        <w:t xml:space="preserve">. L’admission peut être provisoire en cas d’urgence, notamment lorsque la procédure met en péril les conditions essentielles de vie</w:t>
      </w:r>
      <w:hyperlink w:anchor="ref-8">
        <w:r>
          <w:rPr>
            <w:vertAlign w:val="superscript"/>
          </w:rPr>
          <w:t>8</w:t>
        </w:r>
      </w:hyperlink>
      <w:r>
        <w:t xml:space="preserve">.</w:t>
      </w:r>
    </w:p>
    <w:p>
      <w:pPr>
        <w:pStyle w:val="BodyText"/>
      </w:pPr>
      <w:r>
        <w:t xml:space="preserve">L’action ne doit pas être manifestement irrecevable ou dénuée de fondement</w:t>
      </w:r>
      <w:hyperlink w:anchor="ref-9">
        <w:r>
          <w:rPr>
            <w:vertAlign w:val="superscript"/>
          </w:rPr>
          <w:t>9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E) Représentation par avocat devant le tribunal judiciaire</w:t>
      </w:r>
    </w:p>
    <w:p>
      <w:pPr>
        <w:pStyle w:val="BodyText"/>
      </w:pPr>
      <w:r>
        <w:t xml:space="preserve">Principe : devant le</w:t>
      </w:r>
      <w:r>
        <w:t xml:space="preserve"> </w:t>
      </w:r>
      <w:r>
        <w:rPr>
          <w:b/>
          <w:bCs/>
        </w:rPr>
        <w:t xml:space="preserve">tribunal judiciaire</w:t>
      </w:r>
      <w:r>
        <w:t xml:space="preserve">, les parties doivent constituer avocat, sauf exceptions</w:t>
      </w:r>
      <w:hyperlink w:anchor="ref-10">
        <w:r>
          <w:rPr>
            <w:vertAlign w:val="superscript"/>
          </w:rPr>
          <w:t>10</w:t>
        </w:r>
      </w:hyperlink>
      <w:r>
        <w:t xml:space="preserve">.</w:t>
      </w:r>
    </w:p>
    <w:p>
      <w:pPr>
        <w:pStyle w:val="BodyText"/>
      </w:pPr>
      <w:r>
        <w:t xml:space="preserve">Les exceptions (dispense de ministère d’avocat) sont listées à l’art. 761 CPC (JCP, petits litiges ≤ 10 000 €, etc.)</w:t>
      </w:r>
      <w:hyperlink w:anchor="ref-11">
        <w:r>
          <w:rPr>
            <w:vertAlign w:val="superscript"/>
          </w:rPr>
          <w:t>11</w:t>
        </w:r>
      </w:hyperlink>
      <w:r>
        <w:t xml:space="preserve">.</w:t>
      </w:r>
    </w:p>
    <w:p>
      <w:pPr>
        <w:pStyle w:val="BodyText"/>
      </w:pPr>
      <w:r>
        <w:t xml:space="preserve">En dehors de ces cas, en matière de responsabilité civile pour dommage corporel,</w:t>
      </w:r>
      <w:r>
        <w:t xml:space="preserve"> </w:t>
      </w:r>
      <w:r>
        <w:rPr>
          <w:b/>
          <w:bCs/>
        </w:rPr>
        <w:t xml:space="preserve">l’avocat est en pratique obligatoire</w:t>
      </w:r>
      <w:r>
        <w:t xml:space="preserve"> </w:t>
      </w:r>
      <w:r>
        <w:t xml:space="preserve">pour le fond et le référé-provision.</w:t>
      </w:r>
    </w:p>
    <w:p>
      <w:pPr>
        <w:pStyle w:val="BodyText"/>
      </w:pPr>
      <w:r>
        <w:t xml:space="preserve">En revanche,</w:t>
      </w:r>
      <w:r>
        <w:t xml:space="preserve"> </w:t>
      </w:r>
      <w:r>
        <w:rPr>
          <w:b/>
          <w:bCs/>
        </w:rPr>
        <w:t xml:space="preserve">pour une simple requête art. 145</w:t>
      </w:r>
      <w:r>
        <w:t xml:space="preserve"> </w:t>
      </w:r>
      <w:r>
        <w:t xml:space="preserve">(mesure d’instruction) : beaucoup de juridictions acceptent encore un dépôt par la partie elle-même, mais le juge peut exiger la constitution d’un avocat ensuite.</w:t>
      </w:r>
    </w:p>
    <w:p>
      <w:pPr>
        <w:pStyle w:val="BodyText"/>
      </w:pPr>
      <w:r>
        <w:rPr>
          <w:b/>
          <w:bCs/>
        </w:rPr>
        <w:t xml:space="preserve">F) CIVI / FGTI</w:t>
      </w:r>
    </w:p>
    <w:p>
      <w:pPr>
        <w:pStyle w:val="BodyText"/>
      </w:pPr>
      <w:r>
        <w:t xml:space="preserve">Les CIVI indemnisent les victimes d’atteintes corporelles présentant le caractère matériel d’une infraction, avec mort, incapacité permanente ou ITT ≥ 1 mois, lorsque les faits ne relèvent pas notamment de la loi du 5 juillet 1985 sur les accidents de la circulation</w:t>
      </w:r>
      <w:hyperlink w:anchor="ref-12">
        <w:r>
          <w:rPr>
            <w:vertAlign w:val="superscript"/>
          </w:rPr>
          <w:t>12</w:t>
        </w:r>
      </w:hyperlink>
      <w:r>
        <w:t xml:space="preserve">.</w:t>
      </w:r>
    </w:p>
    <w:p>
      <w:pPr>
        <w:pStyle w:val="BodyText"/>
      </w:pPr>
      <w:r>
        <w:t xml:space="preserve">Tu as une ITT de 56 jours, les faits sont en France, dans un salon de coiffure (pas un véhicule), donc</w:t>
      </w:r>
      <w:r>
        <w:t xml:space="preserve"> </w:t>
      </w:r>
      <w:r>
        <w:rPr>
          <w:b/>
          <w:bCs/>
        </w:rPr>
        <w:t xml:space="preserve">en principe, tu entres dans le champ de la CIVI/FGTI</w:t>
      </w:r>
      <w:r>
        <w:t xml:space="preserve">, à condition de démontrer que les faits constituent au moins des blessures involontaires ou une mise en danger.</w:t>
      </w:r>
    </w:p>
    <w:p>
      <w:pPr>
        <w:pStyle w:val="BodyText"/>
      </w:pPr>
      <w:r>
        <w:rPr>
          <w:b/>
          <w:bCs/>
        </w:rPr>
        <w:t xml:space="preserve">G) Vidéosurveillance</w:t>
      </w:r>
    </w:p>
    <w:p>
      <w:pPr>
        <w:pStyle w:val="BodyText"/>
      </w:pPr>
      <w:r>
        <w:t xml:space="preserve">Les enregistrements de vidéoprotection doivent en principe être détruits dans un délai</w:t>
      </w:r>
      <w:r>
        <w:t xml:space="preserve"> </w:t>
      </w:r>
      <w:r>
        <w:rPr>
          <w:b/>
          <w:bCs/>
        </w:rPr>
        <w:t xml:space="preserve">maximal d’un mois</w:t>
      </w:r>
      <w:r>
        <w:t xml:space="preserve">, sauf procédure pénale ou autorisation particulière</w:t>
      </w:r>
      <w:hyperlink w:anchor="ref-13">
        <w:r>
          <w:rPr>
            <w:vertAlign w:val="superscript"/>
          </w:rPr>
          <w:t>13</w:t>
        </w:r>
      </w:hyperlink>
      <w:r>
        <w:t xml:space="preserve">. D’où l’urgence de tes démarches.</w:t>
      </w:r>
    </w:p>
    <w:p>
      <w:pPr>
        <w:pBdr>
          <w:bottom w:val="single" w:sz="6" w:space="8" w:color="1B3A5C"/>
        </w:pBdr>
        <w:spacing w:before="240" w:after="240"/>
      </w:pPr>
    </w:p>
    <w:bookmarkEnd w:id="21"/>
    <w:bookmarkStart w:id="29" w:name="X26865e003bb39762ff43727937417f07c996e45"/>
    <w:p>
      <w:pPr>
        <w:pStyle w:val="Heading2"/>
      </w:pPr>
      <w:r>
        <w:t xml:space="preserve">II/ Application à ton cas et réponses aux questions</w:t>
      </w:r>
    </w:p>
    <w:bookmarkStart w:id="22" w:name="Xd4b081c4bf031b3f9fddb88877b479cba96a13f"/>
    <w:p>
      <w:pPr>
        <w:pStyle w:val="Heading3"/>
      </w:pPr>
      <w:r>
        <w:t xml:space="preserve">A) Cohérence globale de la stratégie et priorités</w:t>
      </w:r>
    </w:p>
    <w:p>
      <w:pPr>
        <w:pStyle w:val="FirstParagraph"/>
      </w:pPr>
      <w:r>
        <w:t xml:space="preserve">Si j’étais ton avocat,</w:t>
      </w:r>
      <w:r>
        <w:t xml:space="preserve"> </w:t>
      </w:r>
      <w:r>
        <w:rPr>
          <w:b/>
          <w:bCs/>
        </w:rPr>
        <w:t xml:space="preserve">je validerais la colonne vertébrale</w:t>
      </w:r>
      <w:r>
        <w:t xml:space="preserve"> </w:t>
      </w:r>
      <w:r>
        <w:t xml:space="preserve">suivante, en la resserrant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Urgence probatoire (maintenant – été 2026)</w:t>
      </w:r>
    </w:p>
    <w:p>
      <w:pPr>
        <w:numPr>
          <w:ilvl w:val="1"/>
          <w:numId w:val="1003"/>
        </w:numPr>
      </w:pPr>
      <w:r>
        <w:t xml:space="preserve">Requête</w:t>
      </w:r>
      <w:r>
        <w:t xml:space="preserve"> </w:t>
      </w:r>
      <w:r>
        <w:rPr>
          <w:b/>
          <w:bCs/>
        </w:rPr>
        <w:t xml:space="preserve">art. 145 CPC</w:t>
      </w:r>
      <w:r>
        <w:t xml:space="preserve"> </w:t>
      </w:r>
      <w:r>
        <w:t xml:space="preserve">devant le TJ de Foix pour :</w:t>
      </w:r>
    </w:p>
    <w:p>
      <w:pPr>
        <w:numPr>
          <w:ilvl w:val="2"/>
          <w:numId w:val="1004"/>
        </w:numPr>
      </w:pPr>
      <w:r>
        <w:t xml:space="preserve">identification/communication de la police d’assurance RC de la SAS ;</w:t>
      </w:r>
    </w:p>
    <w:p>
      <w:pPr>
        <w:numPr>
          <w:ilvl w:val="2"/>
          <w:numId w:val="1004"/>
        </w:numPr>
      </w:pPr>
      <w:r>
        <w:t xml:space="preserve">mesures de conservation/communication des vidéos de surveillance.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Plainte complémentaire</w:t>
      </w:r>
      <w:r>
        <w:t xml:space="preserve"> </w:t>
      </w:r>
      <w:r>
        <w:t xml:space="preserve">à Foix avec demande de réquisitions vidéos.</w:t>
      </w:r>
    </w:p>
    <w:p>
      <w:pPr>
        <w:numPr>
          <w:ilvl w:val="0"/>
          <w:numId w:val="1000"/>
        </w:numPr>
      </w:pPr>
      <w:r>
        <w:t xml:space="preserve">→ C’est exactement ce que tu prévois pour le</w:t>
      </w:r>
      <w:r>
        <w:t xml:space="preserve"> </w:t>
      </w:r>
      <w:r>
        <w:rPr>
          <w:b/>
          <w:bCs/>
        </w:rPr>
        <w:t xml:space="preserve">15 juillet</w:t>
      </w:r>
      <w:r>
        <w:t xml:space="preserve"> </w:t>
      </w:r>
      <w:r>
        <w:t xml:space="preserve">: c’est cohérent et prioritaire.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Sécuriser ton accès à un avocat et à un huissier : l’Aide Juridictionnelle</w:t>
      </w:r>
    </w:p>
    <w:p>
      <w:pPr>
        <w:numPr>
          <w:ilvl w:val="1"/>
          <w:numId w:val="1005"/>
        </w:numPr>
      </w:pPr>
      <w:r>
        <w:t xml:space="preserve">Dépôt d’un</w:t>
      </w:r>
      <w:r>
        <w:t xml:space="preserve"> </w:t>
      </w:r>
      <w:r>
        <w:rPr>
          <w:b/>
          <w:bCs/>
        </w:rPr>
        <w:t xml:space="preserve">dossier d’AJ totale</w:t>
      </w:r>
      <w:r>
        <w:t xml:space="preserve"> </w:t>
      </w:r>
      <w:r>
        <w:t xml:space="preserve">le même jour à Foix.</w:t>
      </w:r>
    </w:p>
    <w:p>
      <w:pPr>
        <w:numPr>
          <w:ilvl w:val="1"/>
          <w:numId w:val="1005"/>
        </w:numPr>
      </w:pPr>
      <w:r>
        <w:t xml:space="preserve">Demande de</w:t>
      </w:r>
      <w:r>
        <w:t xml:space="preserve"> </w:t>
      </w:r>
      <w:r>
        <w:rPr>
          <w:b/>
          <w:bCs/>
        </w:rPr>
        <w:t xml:space="preserve">traitement accéléré</w:t>
      </w:r>
      <w:r>
        <w:t xml:space="preserve">, en expliquant le risque de disparition des preuves.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Phase civile après identification de l’assureur et AJ accordée</w:t>
      </w:r>
    </w:p>
    <w:p>
      <w:pPr>
        <w:numPr>
          <w:ilvl w:val="1"/>
          <w:numId w:val="1006"/>
        </w:numPr>
      </w:pPr>
      <w:r>
        <w:t xml:space="preserve">Avocat désigné via AJ →</w:t>
      </w:r>
      <w:r>
        <w:t xml:space="preserve"> </w:t>
      </w:r>
      <w:r>
        <w:rPr>
          <w:b/>
          <w:bCs/>
        </w:rPr>
        <w:t xml:space="preserve">référé-provision</w:t>
      </w:r>
      <w:r>
        <w:t xml:space="preserve"> </w:t>
      </w:r>
      <w:r>
        <w:t xml:space="preserve">(environ 15 000 €).</w:t>
      </w:r>
    </w:p>
    <w:p>
      <w:pPr>
        <w:numPr>
          <w:ilvl w:val="1"/>
          <w:numId w:val="1006"/>
        </w:numPr>
      </w:pPr>
      <w:r>
        <w:t xml:space="preserve">Puis</w:t>
      </w:r>
      <w:r>
        <w:t xml:space="preserve"> </w:t>
      </w:r>
      <w:r>
        <w:rPr>
          <w:b/>
          <w:bCs/>
        </w:rPr>
        <w:t xml:space="preserve">expertise médicale</w:t>
      </w:r>
      <w:r>
        <w:t xml:space="preserve"> </w:t>
      </w:r>
      <w:r>
        <w:t xml:space="preserve">(via le pénal, l’art. 145 ou le fond).</w:t>
      </w:r>
    </w:p>
    <w:p>
      <w:pPr>
        <w:numPr>
          <w:ilvl w:val="1"/>
          <w:numId w:val="1006"/>
        </w:numPr>
      </w:pPr>
      <w:r>
        <w:t xml:space="preserve">Puis</w:t>
      </w:r>
      <w:r>
        <w:t xml:space="preserve"> </w:t>
      </w:r>
      <w:r>
        <w:rPr>
          <w:b/>
          <w:bCs/>
        </w:rPr>
        <w:t xml:space="preserve">procédure au fond</w:t>
      </w:r>
      <w:r>
        <w:t xml:space="preserve"> </w:t>
      </w:r>
      <w:r>
        <w:t xml:space="preserve">pour l’indemnisation complète (barème Dintilhac).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CIVI/FGTI en filet de sécurité</w:t>
      </w:r>
      <w:r>
        <w:t xml:space="preserve">, à n’activer que si :</w:t>
      </w:r>
    </w:p>
    <w:p>
      <w:pPr>
        <w:numPr>
          <w:ilvl w:val="1"/>
          <w:numId w:val="1007"/>
        </w:numPr>
      </w:pPr>
      <w:r>
        <w:t xml:space="preserve">absence d’assurance RC avérée,</w:t>
      </w:r>
      <w:r>
        <w:t xml:space="preserve"> </w:t>
      </w:r>
      <w:r>
        <w:rPr>
          <w:b/>
          <w:bCs/>
        </w:rPr>
        <w:t xml:space="preserve">ou</w:t>
      </w:r>
    </w:p>
    <w:p>
      <w:pPr>
        <w:numPr>
          <w:ilvl w:val="1"/>
          <w:numId w:val="1007"/>
        </w:numPr>
      </w:pPr>
      <w:r>
        <w:t xml:space="preserve">assureur qui nie toute garantie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exploitant insolvable.</w:t>
      </w:r>
    </w:p>
    <w:p>
      <w:pPr>
        <w:pStyle w:val="FirstParagraph"/>
      </w:pPr>
      <w:r>
        <w:t xml:space="preserve">En résumé :</w:t>
      </w:r>
      <w:r>
        <w:t xml:space="preserve"> </w:t>
      </w:r>
      <w:r>
        <w:rPr>
          <w:b/>
          <w:bCs/>
        </w:rPr>
        <w:t xml:space="preserve">ta stratégie est cohérente</w:t>
      </w:r>
      <w:r>
        <w:t xml:space="preserve">, à condition de renoncer pour l’instant à l’</w:t>
      </w:r>
      <w:r>
        <w:rPr>
          <w:b/>
          <w:bCs/>
        </w:rPr>
        <w:t xml:space="preserve">action directe</w:t>
      </w:r>
      <w:r>
        <w:t xml:space="preserve"> </w:t>
      </w:r>
      <w:r>
        <w:t xml:space="preserve">contre un assureur inconnu et de repousser la</w:t>
      </w:r>
      <w:r>
        <w:t xml:space="preserve"> </w:t>
      </w:r>
      <w:r>
        <w:rPr>
          <w:b/>
          <w:bCs/>
        </w:rPr>
        <w:t xml:space="preserve">saisine FGTI</w:t>
      </w:r>
      <w:r>
        <w:t xml:space="preserve"> </w:t>
      </w:r>
      <w:r>
        <w:t xml:space="preserve">après les démarches Art. 145 + pénal.</w:t>
      </w:r>
    </w:p>
    <w:p>
      <w:pPr>
        <w:pBdr>
          <w:bottom w:val="single" w:sz="6" w:space="8" w:color="1B3A5C"/>
        </w:pBdr>
        <w:spacing w:before="240" w:after="240"/>
      </w:pPr>
    </w:p>
    <w:bookmarkEnd w:id="22"/>
    <w:bookmarkStart w:id="23" w:name="Xf400ba32ca4e72dfb60547c3333c9ffae8dc56e"/>
    <w:p>
      <w:pPr>
        <w:pStyle w:val="Heading3"/>
      </w:pPr>
      <w:r>
        <w:t xml:space="preserve">B) Plainte pénale : Toulouse vs Foix, complément ou nouvelle plainte ?</w:t>
      </w:r>
    </w:p>
    <w:p>
      <w:pPr>
        <w:pStyle w:val="FirstParagraph"/>
      </w:pPr>
      <w:r>
        <w:t xml:space="preserve">1°)</w:t>
      </w:r>
      <w:r>
        <w:t xml:space="preserve"> </w:t>
      </w:r>
      <w:r>
        <w:rPr>
          <w:b/>
          <w:bCs/>
        </w:rPr>
        <w:t xml:space="preserve">Faut-il une plainte complémentaire ou une nouvelle plainte ?</w:t>
      </w:r>
    </w:p>
    <w:p>
      <w:pPr>
        <w:pStyle w:val="BodyText"/>
      </w:pPr>
      <w:r>
        <w:t xml:space="preserve">À ta place, je demanderais clairement au commissariat de Foix de dresser une</w:t>
      </w:r>
      <w:r>
        <w:t xml:space="preserve"> </w:t>
      </w:r>
      <w:r>
        <w:rPr>
          <w:b/>
          <w:bCs/>
        </w:rPr>
        <w:t xml:space="preserve">plainte complémentaire</w:t>
      </w:r>
      <w:r>
        <w:t xml:space="preserve"> </w:t>
      </w:r>
      <w:r>
        <w:t xml:space="preserve">:</w:t>
      </w:r>
    </w:p>
    <w:p>
      <w:pPr>
        <w:numPr>
          <w:ilvl w:val="0"/>
          <w:numId w:val="1008"/>
        </w:numPr>
      </w:pPr>
      <w:r>
        <w:t xml:space="preserve">en rappelant le PV initial de Toulouse n° 2026/015967 ;</w:t>
      </w:r>
    </w:p>
    <w:p>
      <w:pPr>
        <w:numPr>
          <w:ilvl w:val="0"/>
          <w:numId w:val="1008"/>
        </w:numPr>
      </w:pPr>
      <w:r>
        <w:t xml:space="preserve">en expliquant que tu viens dénoncer des</w:t>
      </w:r>
      <w:r>
        <w:t xml:space="preserve"> </w:t>
      </w:r>
      <w:r>
        <w:rPr>
          <w:b/>
          <w:bCs/>
        </w:rPr>
        <w:t xml:space="preserve">faits nouveaux</w:t>
      </w:r>
      <w:r>
        <w:t xml:space="preserve"> 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obstruction (silence de la SAS, LRAR NPAI, absence totale de coopération),</w:t>
      </w:r>
    </w:p>
    <w:p>
      <w:pPr>
        <w:numPr>
          <w:ilvl w:val="1"/>
          <w:numId w:val="1009"/>
        </w:numPr>
      </w:pPr>
      <w:r>
        <w:t xml:space="preserve">risque de disparition des preuves vidéos,</w:t>
      </w:r>
    </w:p>
    <w:p>
      <w:pPr>
        <w:numPr>
          <w:ilvl w:val="1"/>
          <w:numId w:val="1009"/>
        </w:numPr>
      </w:pPr>
      <w:r>
        <w:t xml:space="preserve">possible défaut d’assurance RC professionnelle.</w:t>
      </w:r>
    </w:p>
    <w:p>
      <w:pPr>
        <w:pStyle w:val="FirstParagraph"/>
      </w:pPr>
      <w:r>
        <w:t xml:space="preserve">Cela permet de</w:t>
      </w:r>
      <w:r>
        <w:t xml:space="preserve"> </w:t>
      </w:r>
      <w:r>
        <w:rPr>
          <w:b/>
          <w:bCs/>
        </w:rPr>
        <w:t xml:space="preserve">garder l’unité du dossier pénal</w:t>
      </w:r>
      <w:r>
        <w:t xml:space="preserve"> </w:t>
      </w:r>
      <w:r>
        <w:t xml:space="preserve">tout en territorialisation l’enquête sur Foix (lieu de l’accident, siège de la société).</w:t>
      </w:r>
    </w:p>
    <w:p>
      <w:pPr>
        <w:pStyle w:val="BodyText"/>
      </w:pPr>
      <w:r>
        <w:t xml:space="preserve">2°)</w:t>
      </w:r>
      <w:r>
        <w:t xml:space="preserve"> </w:t>
      </w:r>
      <w:r>
        <w:rPr>
          <w:b/>
          <w:bCs/>
        </w:rPr>
        <w:t xml:space="preserve">Chefs d’infraction à viser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Blessures involontaires</w:t>
      </w:r>
      <w:r>
        <w:t xml:space="preserve"> </w:t>
      </w:r>
      <w:r>
        <w:t xml:space="preserve">(classiques, même si tu ne les as pas cités, elles sont le socle des CIVI).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Mise en danger délibérée d’autrui</w:t>
      </w:r>
      <w:r>
        <w:t xml:space="preserve"> </w:t>
      </w:r>
      <w:r>
        <w:t xml:space="preserve">– art. 223-1 CP :</w:t>
      </w:r>
    </w:p>
    <w:p>
      <w:pPr>
        <w:numPr>
          <w:ilvl w:val="0"/>
          <w:numId w:val="1000"/>
        </w:numPr>
      </w:pPr>
      <w:r>
        <w:t xml:space="preserve">il faudra démontrer une violation manifestement délibérée d’une obligation particulière de sécurité (par exemple, obligations de sécurité dans les ERP) et un risque immédiat de blessure grave</w:t>
      </w:r>
      <w:hyperlink w:anchor="ref-14">
        <w:r>
          <w:rPr>
            <w:vertAlign w:val="superscript"/>
          </w:rPr>
          <w:t>14</w:t>
        </w:r>
      </w:hyperlink>
      <w:r>
        <w:t xml:space="preserve">. Ce n’est pas gagné d’avance, mais tu peux la proposer, le parquet tranchera.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Entrave à la constatation d’infraction / obstruction</w:t>
      </w:r>
      <w:r>
        <w:t xml:space="preserve"> </w:t>
      </w:r>
      <w:r>
        <w:t xml:space="preserve">: l’incrimination exacte (434-15 CP et suivants) doit être maniée avec prudence. J’en parlerais à l’OPJ comme</w:t>
      </w:r>
      <w:r>
        <w:t xml:space="preserve"> </w:t>
      </w:r>
      <w:r>
        <w:rPr>
          <w:b/>
          <w:bCs/>
        </w:rPr>
        <w:t xml:space="preserve">angle de lecture</w:t>
      </w:r>
      <w:r>
        <w:t xml:space="preserve"> </w:t>
      </w:r>
      <w:r>
        <w:t xml:space="preserve">(« la société fait tout pour empêcher la constatation de l’infraction et l’identification de l’assureur »), mais je laisserais le choix précis de l’article au parquet.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Défaut d’assurance professionnelle</w:t>
      </w:r>
      <w:r>
        <w:t xml:space="preserve"> </w:t>
      </w:r>
      <w:r>
        <w:t xml:space="preserve">: attention, l’article L.324-2 du Code des assurances que tu cites ne vise en réalité pas le défaut d’assurance RC professionnelle des salons, mais des questions de fusion d’assureurs</w:t>
      </w:r>
      <w:hyperlink w:anchor="ref-15">
        <w:r>
          <w:rPr>
            <w:vertAlign w:val="superscript"/>
          </w:rPr>
          <w:t>15</w:t>
        </w:r>
      </w:hyperlink>
      <w:r>
        <w:t xml:space="preserve">.</w:t>
      </w:r>
    </w:p>
    <w:p>
      <w:pPr>
        <w:numPr>
          <w:ilvl w:val="1"/>
          <w:numId w:val="1011"/>
        </w:numPr>
      </w:pPr>
      <w:r>
        <w:t xml:space="preserve">Tu peux dire : « je crains un défaut d’assurance professionnelle obligatoire, je vous demande de vérifier ce point ».</w:t>
      </w:r>
    </w:p>
    <w:p>
      <w:pPr>
        <w:numPr>
          <w:ilvl w:val="1"/>
          <w:numId w:val="1011"/>
        </w:numPr>
      </w:pPr>
      <w:r>
        <w:t xml:space="preserve">Mais je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baserais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formellement la plainte sur L.324-2 C. assur., qui n’est pas l’incrimination adaptée.</w:t>
      </w:r>
    </w:p>
    <w:p>
      <w:pPr>
        <w:pStyle w:val="FirstParagraph"/>
      </w:pPr>
      <w:r>
        <w:t xml:space="preserve">Donc : à la place de ton avocat, j’orienterais ton discours ainsi :</w:t>
      </w:r>
    </w:p>
    <w:p>
      <w:pPr>
        <w:numPr>
          <w:ilvl w:val="0"/>
          <w:numId w:val="1012"/>
        </w:numPr>
      </w:pPr>
      <w:r>
        <w:t xml:space="preserve">blessure involontaire comme socle,</w:t>
      </w:r>
    </w:p>
    <w:p>
      <w:pPr>
        <w:numPr>
          <w:ilvl w:val="0"/>
          <w:numId w:val="1012"/>
        </w:numPr>
      </w:pPr>
      <w:r>
        <w:t xml:space="preserve">mise en danger et entrave comme chefs</w:t>
      </w:r>
      <w:r>
        <w:t xml:space="preserve"> </w:t>
      </w:r>
      <w:r>
        <w:rPr>
          <w:b/>
          <w:bCs/>
        </w:rPr>
        <w:t xml:space="preserve">à proposer</w:t>
      </w:r>
      <w:r>
        <w:t xml:space="preserve">,</w:t>
      </w:r>
    </w:p>
    <w:p>
      <w:pPr>
        <w:numPr>
          <w:ilvl w:val="0"/>
          <w:numId w:val="1012"/>
        </w:numPr>
      </w:pPr>
      <w:r>
        <w:t xml:space="preserve">défaut d’assurance comme</w:t>
      </w:r>
      <w:r>
        <w:t xml:space="preserve"> </w:t>
      </w:r>
      <w:r>
        <w:rPr>
          <w:b/>
          <w:bCs/>
        </w:rPr>
        <w:t xml:space="preserve">objet d’investigation</w:t>
      </w:r>
      <w:r>
        <w:t xml:space="preserve"> </w:t>
      </w:r>
      <w:r>
        <w:t xml:space="preserve">(et éventuelle infraction spécifique à rechercher par le parquet).</w:t>
      </w:r>
    </w:p>
    <w:p>
      <w:pPr>
        <w:pStyle w:val="FirstParagraph"/>
      </w:pPr>
      <w:r>
        <w:t xml:space="preserve">3°)</w:t>
      </w:r>
      <w:r>
        <w:t xml:space="preserve"> </w:t>
      </w:r>
      <w:r>
        <w:rPr>
          <w:b/>
          <w:bCs/>
        </w:rPr>
        <w:t xml:space="preserve">Pénal vs civil, dans quel ordre ?</w:t>
      </w:r>
    </w:p>
    <w:p>
      <w:pPr>
        <w:pStyle w:val="BodyText"/>
      </w:pPr>
      <w:r>
        <w:t xml:space="preserve">Tu as raison de</w:t>
      </w:r>
      <w:r>
        <w:t xml:space="preserve"> </w:t>
      </w:r>
      <w:r>
        <w:rPr>
          <w:b/>
          <w:bCs/>
        </w:rPr>
        <w:t xml:space="preserve">ne pas opposer</w:t>
      </w:r>
      <w:r>
        <w:t xml:space="preserve"> </w:t>
      </w:r>
      <w:r>
        <w:t xml:space="preserve">les deux :</w:t>
      </w:r>
    </w:p>
    <w:p>
      <w:pPr>
        <w:numPr>
          <w:ilvl w:val="0"/>
          <w:numId w:val="1013"/>
        </w:numPr>
      </w:pPr>
      <w:r>
        <w:t xml:space="preserve">Le pénal permet : réquisitions vidéos, auditions, vérification de l’assurance, etc.</w:t>
      </w:r>
    </w:p>
    <w:p>
      <w:pPr>
        <w:numPr>
          <w:ilvl w:val="0"/>
          <w:numId w:val="1013"/>
        </w:numPr>
      </w:pPr>
      <w:r>
        <w:t xml:space="preserve">Le civil (Art. 145 puis référé) permet : obtenir des mesures rapides malgré l’inertie pénale.</w:t>
      </w:r>
    </w:p>
    <w:p>
      <w:pPr>
        <w:pStyle w:val="FirstParagraph"/>
      </w:pPr>
      <w:r>
        <w:t xml:space="preserve">À mon sens, la séquence du 15 juillet (TJ le matin / commissariat l’après-midi) est</w:t>
      </w:r>
      <w:r>
        <w:t xml:space="preserve"> </w:t>
      </w:r>
      <w:r>
        <w:rPr>
          <w:b/>
          <w:bCs/>
        </w:rPr>
        <w:t xml:space="preserve">logique et pertinente</w:t>
      </w:r>
      <w:r>
        <w:t xml:space="preserve">.</w:t>
      </w:r>
    </w:p>
    <w:p>
      <w:pPr>
        <w:pBdr>
          <w:bottom w:val="single" w:sz="6" w:space="8" w:color="1B3A5C"/>
        </w:pBdr>
        <w:spacing w:before="240" w:after="240"/>
      </w:pPr>
    </w:p>
    <w:bookmarkEnd w:id="23"/>
    <w:bookmarkStart w:id="24" w:name="Xb76e46dcee6ad366e031d34025d5790b0df5b61"/>
    <w:p>
      <w:pPr>
        <w:pStyle w:val="Heading3"/>
      </w:pPr>
      <w:r>
        <w:t xml:space="preserve">C) Article 145 CPC : requête simple par la victime seule</w:t>
      </w:r>
    </w:p>
    <w:p>
      <w:pPr>
        <w:pStyle w:val="FirstParagraph"/>
      </w:pPr>
      <w:r>
        <w:t xml:space="preserve">1°)</w:t>
      </w:r>
      <w:r>
        <w:t xml:space="preserve"> </w:t>
      </w:r>
      <w:r>
        <w:rPr>
          <w:b/>
          <w:bCs/>
        </w:rPr>
        <w:t xml:space="preserve">Peux-tu déposer seul au greffe une requête Art. 145 ?</w:t>
      </w:r>
    </w:p>
    <w:p>
      <w:pPr>
        <w:pStyle w:val="BodyText"/>
      </w:pPr>
      <w:r>
        <w:t xml:space="preserve">Juridiquement, l’art. 145 CPC autorise une demande « sur requête ou en référé », sans réserver ce droit aux seuls avocats</w:t>
      </w:r>
      <w:hyperlink w:anchor="ref-3">
        <w:r>
          <w:rPr>
            <w:vertAlign w:val="superscript"/>
          </w:rPr>
          <w:t>3</w:t>
        </w:r>
      </w:hyperlink>
      <w:r>
        <w:t xml:space="preserve">. La pratique que l’on retrouve dans de nombreux jugements montre que la mesure peut être demandée par</w:t>
      </w:r>
      <w:r>
        <w:t xml:space="preserve"> </w:t>
      </w:r>
      <w:r>
        <w:rPr>
          <w:b/>
          <w:bCs/>
        </w:rPr>
        <w:t xml:space="preserve">tout intéressé</w:t>
      </w:r>
      <w:r>
        <w:t xml:space="preserve">, même avant la désignation d’un avocat, tant que :</w:t>
      </w:r>
    </w:p>
    <w:p>
      <w:pPr>
        <w:numPr>
          <w:ilvl w:val="0"/>
          <w:numId w:val="1014"/>
        </w:numPr>
      </w:pPr>
      <w:r>
        <w:t xml:space="preserve">il existe un</w:t>
      </w:r>
      <w:r>
        <w:t xml:space="preserve"> </w:t>
      </w:r>
      <w:r>
        <w:rPr>
          <w:b/>
          <w:bCs/>
        </w:rPr>
        <w:t xml:space="preserve">motif légitime</w:t>
      </w:r>
      <w:r>
        <w:t xml:space="preserve"> </w:t>
      </w:r>
      <w:r>
        <w:t xml:space="preserve">(ce qui est ton cas : vidéos menacées, assurance introuvable),</w:t>
      </w:r>
    </w:p>
    <w:p>
      <w:pPr>
        <w:numPr>
          <w:ilvl w:val="0"/>
          <w:numId w:val="1014"/>
        </w:numPr>
      </w:pPr>
      <w:r>
        <w:t xml:space="preserve">le litige potentiel est identifiable (responsabilité civile de la SAS et de son assureur)</w:t>
      </w:r>
      <w:hyperlink w:anchor="ref-4">
        <w:r>
          <w:rPr>
            <w:vertAlign w:val="superscript"/>
          </w:rPr>
          <w:t>4</w:t>
        </w:r>
      </w:hyperlink>
      <w:r>
        <w:t xml:space="preserve">.</w:t>
      </w:r>
    </w:p>
    <w:p>
      <w:pPr>
        <w:pStyle w:val="FirstParagraph"/>
      </w:pPr>
      <w:r>
        <w:t xml:space="preserve">En pratique 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Le 15 juillet</w:t>
      </w:r>
      <w:r>
        <w:t xml:space="preserve">, je déposerais exactement ce que tu prévois :</w:t>
      </w:r>
    </w:p>
    <w:p>
      <w:pPr>
        <w:pStyle w:val="Compact"/>
        <w:numPr>
          <w:ilvl w:val="1"/>
          <w:numId w:val="1016"/>
        </w:numPr>
      </w:pPr>
      <w:r>
        <w:t xml:space="preserve">requête rédigée + pièces (PV, certificats, Kbis, LRAR NPAI, photos).</w:t>
      </w:r>
    </w:p>
    <w:p>
      <w:pPr>
        <w:numPr>
          <w:ilvl w:val="0"/>
          <w:numId w:val="1015"/>
        </w:numPr>
      </w:pPr>
      <w:r>
        <w:t xml:space="preserve">Le greffe peut te dire :</w:t>
      </w:r>
    </w:p>
    <w:p>
      <w:pPr>
        <w:numPr>
          <w:ilvl w:val="1"/>
          <w:numId w:val="1017"/>
        </w:numPr>
      </w:pPr>
      <w:r>
        <w:t xml:space="preserve">soit « on enregistre la requête »,</w:t>
      </w:r>
    </w:p>
    <w:p>
      <w:pPr>
        <w:numPr>
          <w:ilvl w:val="1"/>
          <w:numId w:val="1017"/>
        </w:numPr>
      </w:pPr>
      <w:r>
        <w:t xml:space="preserve">soit « il faudra constituer un avocat » → dans ce cas, ton dépôt + ta future AJ serviront à enclencher les choses.</w:t>
      </w:r>
    </w:p>
    <w:p>
      <w:pPr>
        <w:pStyle w:val="FirstParagraph"/>
      </w:pPr>
      <w:r>
        <w:t xml:space="preserve">Donc :</w:t>
      </w:r>
      <w:r>
        <w:t xml:space="preserve"> </w:t>
      </w:r>
      <w:r>
        <w:rPr>
          <w:b/>
          <w:bCs/>
        </w:rPr>
        <w:t xml:space="preserve">oui, tente</w:t>
      </w:r>
      <w:r>
        <w:t xml:space="preserve"> </w:t>
      </w:r>
      <w:r>
        <w:t xml:space="preserve">de déposer la requête seul. Au pire, on te demandera de reprendre via avocat ; au mieux, l’ordonnance partira rapidement.</w:t>
      </w:r>
    </w:p>
    <w:p>
      <w:pPr>
        <w:pStyle w:val="BodyText"/>
      </w:pPr>
      <w:r>
        <w:t xml:space="preserve">2°)</w:t>
      </w:r>
      <w:r>
        <w:t xml:space="preserve"> </w:t>
      </w:r>
      <w:r>
        <w:rPr>
          <w:b/>
          <w:bCs/>
        </w:rPr>
        <w:t xml:space="preserve">Risque de rejet pour vice de forme ?</w:t>
      </w:r>
    </w:p>
    <w:p>
      <w:pPr>
        <w:pStyle w:val="BodyText"/>
      </w:pPr>
      <w:r>
        <w:t xml:space="preserve">Le principal risque n’est pas un « vice de forme » grave, mais plutôt :</w:t>
      </w:r>
    </w:p>
    <w:p>
      <w:pPr>
        <w:numPr>
          <w:ilvl w:val="0"/>
          <w:numId w:val="1018"/>
        </w:numPr>
      </w:pPr>
      <w:r>
        <w:t xml:space="preserve">que le juge estime qu’il ne peut pas, sans contradictoire, ordonner des mesures trop larges (par ex. il préférera un référé ultérieur),</w:t>
      </w:r>
    </w:p>
    <w:p>
      <w:pPr>
        <w:numPr>
          <w:ilvl w:val="0"/>
          <w:numId w:val="1018"/>
        </w:numPr>
      </w:pPr>
      <w:r>
        <w:t xml:space="preserve">ou qu’il limite la mesure (par exemple aux seules vidéos, sans révélation de l’assureur).</w:t>
      </w:r>
    </w:p>
    <w:p>
      <w:pPr>
        <w:pStyle w:val="FirstParagraph"/>
      </w:pPr>
      <w:r>
        <w:t xml:space="preserve">Mais, compte tenu de la jurisprudence très ouverte sur l’article 145 en matière de conservation de preuves (y compris expertise médicale, constats, etc.)</w:t>
      </w:r>
      <w:hyperlink w:anchor="ref-4">
        <w:r>
          <w:rPr>
            <w:vertAlign w:val="superscript"/>
          </w:rPr>
          <w:t>4</w:t>
        </w:r>
      </w:hyperlink>
      <w:r>
        <w:rPr>
          <w:vertAlign w:val="superscript"/>
        </w:rPr>
        <w:t xml:space="preserve">,</w:t>
      </w:r>
      <w:hyperlink w:anchor="ref-16">
        <w:r>
          <w:rPr>
            <w:vertAlign w:val="superscript"/>
          </w:rPr>
          <w:t>16</w:t>
        </w:r>
      </w:hyperlink>
      <w:r>
        <w:t xml:space="preserve">, ta demande est</w:t>
      </w:r>
      <w:r>
        <w:t xml:space="preserve"> </w:t>
      </w:r>
      <w:r>
        <w:rPr>
          <w:b/>
          <w:bCs/>
        </w:rPr>
        <w:t xml:space="preserve">parfaitement défendable</w:t>
      </w:r>
      <w:r>
        <w:t xml:space="preserve">.</w:t>
      </w:r>
    </w:p>
    <w:p>
      <w:pPr>
        <w:pStyle w:val="BodyText"/>
      </w:pPr>
      <w:r>
        <w:t xml:space="preserve">Je la déposerais donc, telle que tu l’as structurée, en veillant à :</w:t>
      </w:r>
    </w:p>
    <w:p>
      <w:pPr>
        <w:numPr>
          <w:ilvl w:val="0"/>
          <w:numId w:val="1019"/>
        </w:numPr>
      </w:pPr>
      <w:r>
        <w:t xml:space="preserve">bien expliquer l’urgence liée au délai de conservation des vidéos (maximum un mois en principe)</w:t>
      </w:r>
      <w:hyperlink w:anchor="ref-13">
        <w:r>
          <w:rPr>
            <w:vertAlign w:val="superscript"/>
          </w:rPr>
          <w:t>13</w:t>
        </w:r>
      </w:hyperlink>
      <w:r>
        <w:t xml:space="preserve">,</w:t>
      </w:r>
    </w:p>
    <w:p>
      <w:pPr>
        <w:numPr>
          <w:ilvl w:val="0"/>
          <w:numId w:val="1019"/>
        </w:numPr>
      </w:pPr>
      <w:r>
        <w:t xml:space="preserve">indiquer clairement que tu souhaites</w:t>
      </w:r>
      <w:r>
        <w:t xml:space="preserve"> </w:t>
      </w:r>
      <w:r>
        <w:rPr>
          <w:b/>
          <w:bCs/>
        </w:rPr>
        <w:t xml:space="preserve">identification de l’assureur RC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conservation/saisie des vidéos</w:t>
      </w:r>
      <w:r>
        <w:t xml:space="preserve">.</w:t>
      </w:r>
    </w:p>
    <w:p>
      <w:pPr>
        <w:pBdr>
          <w:bottom w:val="single" w:sz="6" w:space="8" w:color="1B3A5C"/>
        </w:pBdr>
        <w:spacing w:before="240" w:after="240"/>
      </w:pPr>
    </w:p>
    <w:bookmarkEnd w:id="24"/>
    <w:bookmarkStart w:id="25" w:name="d-aide-juridictionnelle-avocat-huissier"/>
    <w:p>
      <w:pPr>
        <w:pStyle w:val="Heading3"/>
      </w:pPr>
      <w:r>
        <w:t xml:space="preserve">D) Aide Juridictionnelle, avocat, huissier</w:t>
      </w:r>
    </w:p>
    <w:p>
      <w:pPr>
        <w:pStyle w:val="FirstParagraph"/>
      </w:pPr>
      <w:r>
        <w:t xml:space="preserve">1°)</w:t>
      </w:r>
      <w:r>
        <w:t xml:space="preserve"> </w:t>
      </w:r>
      <w:r>
        <w:rPr>
          <w:b/>
          <w:bCs/>
        </w:rPr>
        <w:t xml:space="preserve">Obligation d’avocat selon les étapes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Plainte pénale</w:t>
      </w:r>
      <w:r>
        <w:t xml:space="preserve"> </w:t>
      </w:r>
      <w:r>
        <w:t xml:space="preserve">(Toulouse ou Foix) :</w:t>
      </w:r>
    </w:p>
    <w:p>
      <w:pPr>
        <w:numPr>
          <w:ilvl w:val="0"/>
          <w:numId w:val="1000"/>
        </w:numPr>
      </w:pPr>
      <w:r>
        <w:t xml:space="preserve">aucun avocat obligatoire ; tu peux déposer seul ta plainte complémentaire (ce que tu fais).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Requête art. 145 CPC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juridiquement, la représentation par avocat est en principe la règle devant le TJ</w:t>
      </w:r>
      <w:hyperlink w:anchor="ref-10">
        <w:r>
          <w:rPr>
            <w:vertAlign w:val="superscript"/>
          </w:rPr>
          <w:t>10</w:t>
        </w:r>
      </w:hyperlink>
      <w:r>
        <w:t xml:space="preserve">, mais il existe une pratique constante d’acceptation de requêtes 145 par les justiciables eux-mêmes, et les textes permettent la représentation libre lorsque le ministère n’est pas expressément imposé</w:t>
      </w:r>
      <w:hyperlink w:anchor="ref-11">
        <w:r>
          <w:rPr>
            <w:vertAlign w:val="superscript"/>
          </w:rPr>
          <w:t>11</w:t>
        </w:r>
      </w:hyperlink>
      <w:r>
        <w:rPr>
          <w:vertAlign w:val="superscript"/>
        </w:rPr>
        <w:t xml:space="preserve">,</w:t>
      </w:r>
      <w:hyperlink w:anchor="ref-17">
        <w:r>
          <w:rPr>
            <w:vertAlign w:val="superscript"/>
          </w:rPr>
          <w:t>17</w:t>
        </w:r>
      </w:hyperlink>
      <w:r>
        <w:t xml:space="preserve">.</w:t>
      </w:r>
    </w:p>
    <w:p>
      <w:pPr>
        <w:numPr>
          <w:ilvl w:val="0"/>
          <w:numId w:val="1000"/>
        </w:numPr>
      </w:pPr>
      <w:r>
        <w:t xml:space="preserve">→ Je tenterais la requête</w:t>
      </w:r>
      <w:r>
        <w:t xml:space="preserve"> </w:t>
      </w:r>
      <w:r>
        <w:rPr>
          <w:b/>
          <w:bCs/>
        </w:rPr>
        <w:t xml:space="preserve">sans avocat</w:t>
      </w:r>
      <w:r>
        <w:t xml:space="preserve">, en sachant que le juge peut ensuite exiger une constitution.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Référé-provision et procédure au fond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là, en pratique, il faut considérer que</w:t>
      </w:r>
      <w:r>
        <w:t xml:space="preserve"> </w:t>
      </w:r>
      <w:r>
        <w:rPr>
          <w:b/>
          <w:bCs/>
        </w:rPr>
        <w:t xml:space="preserve">l’avocat est indispensable</w:t>
      </w:r>
      <w:r>
        <w:t xml:space="preserve">, et même considéré comme obligatoire devant le TJ pour ton type de litige (réparation d’un dommage corporel important).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CIVI/FGTI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juridiquement, l’avocat n’est pas strictement obligatoire, mais</w:t>
      </w:r>
      <w:r>
        <w:t xml:space="preserve"> </w:t>
      </w:r>
      <w:r>
        <w:rPr>
          <w:b/>
          <w:bCs/>
        </w:rPr>
        <w:t xml:space="preserve">très recommandé</w:t>
      </w:r>
      <w:r>
        <w:t xml:space="preserve"> </w:t>
      </w:r>
      <w:r>
        <w:t xml:space="preserve">vu la technicité (706-3 et s. CPP)</w:t>
      </w:r>
      <w:hyperlink w:anchor="ref-12">
        <w:r>
          <w:rPr>
            <w:vertAlign w:val="superscript"/>
          </w:rPr>
          <w:t>12</w:t>
        </w:r>
      </w:hyperlink>
      <w:r>
        <w:rPr>
          <w:vertAlign w:val="superscript"/>
        </w:rPr>
        <w:t xml:space="preserve">,</w:t>
      </w:r>
      <w:hyperlink w:anchor="ref-18">
        <w:r>
          <w:rPr>
            <w:vertAlign w:val="superscript"/>
          </w:rPr>
          <w:t>18</w:t>
        </w:r>
      </w:hyperlink>
      <w:r>
        <w:t xml:space="preserve">.</w:t>
      </w:r>
    </w:p>
    <w:p>
      <w:pPr>
        <w:pStyle w:val="FirstParagraph"/>
      </w:pPr>
      <w:r>
        <w:t xml:space="preserve">2°)</w:t>
      </w:r>
      <w:r>
        <w:t xml:space="preserve"> </w:t>
      </w:r>
      <w:r>
        <w:rPr>
          <w:b/>
          <w:bCs/>
        </w:rPr>
        <w:t xml:space="preserve">Aide Juridictionnelle : ce que ça change</w:t>
      </w:r>
    </w:p>
    <w:p>
      <w:pPr>
        <w:pStyle w:val="BodyText"/>
      </w:pPr>
      <w:r>
        <w:t xml:space="preserve">Avec tes revenus (~9 000 €/an, aucun patrimoine significatif), tu es dans la cible de l’</w:t>
      </w:r>
      <w:r>
        <w:rPr>
          <w:b/>
          <w:bCs/>
        </w:rPr>
        <w:t xml:space="preserve">AJ totale</w:t>
      </w:r>
      <w:hyperlink w:anchor="ref-7">
        <w:r>
          <w:rPr>
            <w:vertAlign w:val="superscript"/>
          </w:rPr>
          <w:t>7</w:t>
        </w:r>
      </w:hyperlink>
      <w:r>
        <w:t xml:space="preserve">.</w:t>
      </w:r>
    </w:p>
    <w:p>
      <w:pPr>
        <w:pStyle w:val="BodyText"/>
      </w:pPr>
      <w:r>
        <w:t xml:space="preserve">Une fois l’AJ totale accordée :</w:t>
      </w:r>
    </w:p>
    <w:p>
      <w:pPr>
        <w:numPr>
          <w:ilvl w:val="0"/>
          <w:numId w:val="102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BAJ</w:t>
      </w:r>
      <w:r>
        <w:t xml:space="preserve"> </w:t>
      </w:r>
      <w:r>
        <w:t xml:space="preserve">désigne un</w:t>
      </w:r>
      <w:r>
        <w:t xml:space="preserve"> </w:t>
      </w:r>
      <w:r>
        <w:rPr>
          <w:b/>
          <w:bCs/>
        </w:rPr>
        <w:t xml:space="preserve">avocat</w:t>
      </w:r>
      <w:r>
        <w:t xml:space="preserve"> </w:t>
      </w:r>
      <w:r>
        <w:t xml:space="preserve">qui sera</w:t>
      </w:r>
      <w:r>
        <w:t xml:space="preserve"> </w:t>
      </w:r>
      <w:r>
        <w:rPr>
          <w:b/>
          <w:bCs/>
        </w:rPr>
        <w:t xml:space="preserve">rémunéré par l’État</w:t>
      </w:r>
      <w:r>
        <w:t xml:space="preserve"> </w:t>
      </w:r>
      <w:r>
        <w:t xml:space="preserve">;</w:t>
      </w:r>
    </w:p>
    <w:p>
      <w:pPr>
        <w:numPr>
          <w:ilvl w:val="0"/>
          <w:numId w:val="1021"/>
        </w:numPr>
      </w:pPr>
      <w:r>
        <w:t xml:space="preserve">cet avocat pourra faire intervenir, si besoin, un</w:t>
      </w:r>
      <w:r>
        <w:t xml:space="preserve"> </w:t>
      </w:r>
      <w:r>
        <w:rPr>
          <w:b/>
          <w:bCs/>
        </w:rPr>
        <w:t xml:space="preserve">huissier</w:t>
      </w:r>
      <w:r>
        <w:t xml:space="preserve"> </w:t>
      </w:r>
      <w:r>
        <w:t xml:space="preserve">(constats, significations), pris en charge au titre de l’AJ ;</w:t>
      </w:r>
    </w:p>
    <w:p>
      <w:pPr>
        <w:numPr>
          <w:ilvl w:val="0"/>
          <w:numId w:val="1021"/>
        </w:numPr>
      </w:pPr>
      <w:r>
        <w:t xml:space="preserve">les frais d’expertise judiciaire sont également couverts.</w:t>
      </w:r>
    </w:p>
    <w:p>
      <w:pPr>
        <w:pStyle w:val="FirstParagraph"/>
      </w:pPr>
      <w:r>
        <w:t xml:space="preserve">L’article 20 de la loi permet en plus une</w:t>
      </w:r>
      <w:r>
        <w:t xml:space="preserve"> </w:t>
      </w:r>
      <w:r>
        <w:rPr>
          <w:b/>
          <w:bCs/>
        </w:rPr>
        <w:t xml:space="preserve">admission provisoire en urgence</w:t>
      </w:r>
      <w:r>
        <w:t xml:space="preserve">, ce qui peut être envisagé vu l’enjeu probatoire</w:t>
      </w:r>
      <w:hyperlink w:anchor="ref-8">
        <w:r>
          <w:rPr>
            <w:vertAlign w:val="superscript"/>
          </w:rPr>
          <w:t>8</w:t>
        </w:r>
      </w:hyperlink>
      <w:r>
        <w:t xml:space="preserve">.</w:t>
      </w:r>
    </w:p>
    <w:p>
      <w:pPr>
        <w:pStyle w:val="BodyText"/>
      </w:pPr>
      <w:r>
        <w:t xml:space="preserve">Donc, à ta place, le 15 juillet je déposerais</w:t>
      </w:r>
      <w:r>
        <w:t xml:space="preserve"> </w:t>
      </w:r>
      <w:r>
        <w:rPr>
          <w:b/>
          <w:bCs/>
        </w:rPr>
        <w:t xml:space="preserve">systématiquement</w:t>
      </w:r>
      <w:r>
        <w:t xml:space="preserve"> </w:t>
      </w:r>
      <w:r>
        <w:t xml:space="preserve">la demande d’AJ en expliquant clairement l’urgence (vidéos en péril).</w:t>
      </w:r>
    </w:p>
    <w:p>
      <w:pPr>
        <w:pStyle w:val="BodyText"/>
      </w:pPr>
      <w:r>
        <w:t xml:space="preserve">3°)</w:t>
      </w:r>
      <w:r>
        <w:t xml:space="preserve"> </w:t>
      </w:r>
      <w:r>
        <w:rPr>
          <w:b/>
          <w:bCs/>
        </w:rPr>
        <w:t xml:space="preserve">Avocat commis d’office ?</w:t>
      </w:r>
    </w:p>
    <w:p>
      <w:pPr>
        <w:pStyle w:val="BodyText"/>
      </w:pPr>
      <w:r>
        <w:t xml:space="preserve">En pratique, pour un dossier comme le tien (victime, procédure civile et pénale, pas de détention), le canal normal est</w:t>
      </w:r>
      <w:r>
        <w:t xml:space="preserve"> </w:t>
      </w:r>
      <w:r>
        <w:rPr>
          <w:b/>
          <w:bCs/>
        </w:rPr>
        <w:t xml:space="preserve">l’Aide Juridictionnelle</w:t>
      </w:r>
      <w:r>
        <w:t xml:space="preserve">, pas la commission d’office (qui est surtout utilisée en garde à vue, comparution immédiate, etc.).</w:t>
      </w:r>
    </w:p>
    <w:p>
      <w:pPr>
        <w:pStyle w:val="BodyText"/>
      </w:pPr>
      <w:r>
        <w:t xml:space="preserve">Concrètement :</w:t>
      </w:r>
    </w:p>
    <w:p>
      <w:pPr>
        <w:numPr>
          <w:ilvl w:val="0"/>
          <w:numId w:val="1022"/>
        </w:numPr>
      </w:pPr>
      <w:r>
        <w:t xml:space="preserve">tu continues</w:t>
      </w:r>
      <w:r>
        <w:t xml:space="preserve"> </w:t>
      </w:r>
      <w:r>
        <w:rPr>
          <w:b/>
          <w:bCs/>
        </w:rPr>
        <w:t xml:space="preserve">seul</w:t>
      </w:r>
      <w:r>
        <w:t xml:space="preserve"> </w:t>
      </w:r>
      <w:r>
        <w:t xml:space="preserve">pour tous les actes qui te sont ouverts (plaintes, requête 145, AJ),</w:t>
      </w:r>
    </w:p>
    <w:p>
      <w:pPr>
        <w:numPr>
          <w:ilvl w:val="0"/>
          <w:numId w:val="1022"/>
        </w:numPr>
      </w:pPr>
      <w:r>
        <w:t xml:space="preserve">dès que l’AJ est accordée, tu auras un avocat « gratuit » au sens où tu n’auras rien à avancer.</w:t>
      </w:r>
    </w:p>
    <w:p>
      <w:pPr>
        <w:pStyle w:val="FirstParagraph"/>
      </w:pPr>
      <w:r>
        <w:t xml:space="preserve">4°)</w:t>
      </w:r>
      <w:r>
        <w:t xml:space="preserve"> </w:t>
      </w:r>
      <w:r>
        <w:rPr>
          <w:b/>
          <w:bCs/>
        </w:rPr>
        <w:t xml:space="preserve">Jusqu’où peux-tu aller seul ?</w:t>
      </w:r>
    </w:p>
    <w:p>
      <w:pPr>
        <w:pStyle w:val="BodyText"/>
      </w:pPr>
      <w:r>
        <w:t xml:space="preserve">En raisonnant en praticien :</w:t>
      </w:r>
    </w:p>
    <w:p>
      <w:pPr>
        <w:numPr>
          <w:ilvl w:val="0"/>
          <w:numId w:val="1023"/>
        </w:numPr>
      </w:pPr>
      <w:r>
        <w:t xml:space="preserve">Il est</w:t>
      </w:r>
      <w:r>
        <w:t xml:space="preserve"> </w:t>
      </w:r>
      <w:r>
        <w:rPr>
          <w:b/>
          <w:bCs/>
        </w:rPr>
        <w:t xml:space="preserve">raisonnable</w:t>
      </w:r>
      <w:r>
        <w:t xml:space="preserve"> </w:t>
      </w:r>
      <w:r>
        <w:t xml:space="preserve">que tu fasses seul :</w:t>
      </w:r>
    </w:p>
    <w:p>
      <w:pPr>
        <w:numPr>
          <w:ilvl w:val="1"/>
          <w:numId w:val="1024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plaintes</w:t>
      </w:r>
      <w:r>
        <w:t xml:space="preserve"> </w:t>
      </w:r>
      <w:r>
        <w:t xml:space="preserve">(Toulouse, puis Foix),</w:t>
      </w:r>
    </w:p>
    <w:p>
      <w:pPr>
        <w:numPr>
          <w:ilvl w:val="1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requête 145</w:t>
      </w:r>
      <w:r>
        <w:t xml:space="preserve"> </w:t>
      </w:r>
      <w:r>
        <w:t xml:space="preserve">(purement probatoire),</w:t>
      </w:r>
    </w:p>
    <w:p>
      <w:pPr>
        <w:numPr>
          <w:ilvl w:val="1"/>
          <w:numId w:val="1024"/>
        </w:numPr>
      </w:pPr>
      <w:r>
        <w:t xml:space="preserve">les démarches d’</w:t>
      </w:r>
      <w:r>
        <w:rPr>
          <w:b/>
          <w:bCs/>
        </w:rPr>
        <w:t xml:space="preserve">AJ</w:t>
      </w:r>
      <w:r>
        <w:t xml:space="preserve">,</w:t>
      </w:r>
    </w:p>
    <w:p>
      <w:pPr>
        <w:numPr>
          <w:ilvl w:val="1"/>
          <w:numId w:val="1024"/>
        </w:numPr>
      </w:pPr>
      <w:r>
        <w:t xml:space="preserve">les courriers de relance et la collecte de preuves (photos, témoins, etc.).</w:t>
      </w:r>
    </w:p>
    <w:p>
      <w:pPr>
        <w:numPr>
          <w:ilvl w:val="0"/>
          <w:numId w:val="1023"/>
        </w:numPr>
      </w:pPr>
      <w:r>
        <w:t xml:space="preserve">Il deviendrait</w:t>
      </w:r>
      <w:r>
        <w:t xml:space="preserve"> </w:t>
      </w:r>
      <w:r>
        <w:rPr>
          <w:b/>
          <w:bCs/>
        </w:rPr>
        <w:t xml:space="preserve">délicat</w:t>
      </w:r>
      <w:r>
        <w:t xml:space="preserve"> </w:t>
      </w:r>
      <w:r>
        <w:t xml:space="preserve">de continuer seul dès que l’on passe :</w:t>
      </w:r>
    </w:p>
    <w:p>
      <w:pPr>
        <w:numPr>
          <w:ilvl w:val="1"/>
          <w:numId w:val="1025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référé-provision</w:t>
      </w:r>
      <w:r>
        <w:t xml:space="preserve"> </w:t>
      </w:r>
      <w:r>
        <w:t xml:space="preserve">(audience contradictoire, débats techniques sur la faute, le lien causal, les postes de préjudice),</w:t>
      </w:r>
    </w:p>
    <w:p>
      <w:pPr>
        <w:numPr>
          <w:ilvl w:val="1"/>
          <w:numId w:val="1025"/>
        </w:numPr>
      </w:pPr>
      <w:r>
        <w:t xml:space="preserve">à la</w:t>
      </w:r>
      <w:r>
        <w:t xml:space="preserve"> </w:t>
      </w:r>
      <w:r>
        <w:rPr>
          <w:b/>
          <w:bCs/>
        </w:rPr>
        <w:t xml:space="preserve">procédure au fond</w:t>
      </w:r>
      <w:r>
        <w:t xml:space="preserve">,</w:t>
      </w:r>
    </w:p>
    <w:p>
      <w:pPr>
        <w:numPr>
          <w:ilvl w:val="1"/>
          <w:numId w:val="1025"/>
        </w:numPr>
      </w:pPr>
      <w:r>
        <w:t xml:space="preserve">à une</w:t>
      </w:r>
      <w:r>
        <w:t xml:space="preserve"> </w:t>
      </w:r>
      <w:r>
        <w:rPr>
          <w:b/>
          <w:bCs/>
        </w:rPr>
        <w:t xml:space="preserve">saisine CIVI</w:t>
      </w:r>
      <w:r>
        <w:t xml:space="preserve"> </w:t>
      </w:r>
      <w:r>
        <w:t xml:space="preserve">sérieuse avec chiffrage complet des préjudices.</w:t>
      </w:r>
    </w:p>
    <w:p>
      <w:pPr>
        <w:pStyle w:val="FirstParagraph"/>
      </w:pPr>
      <w:r>
        <w:t xml:space="preserve">Donc : ton plan est bon à condition de considérer que</w:t>
      </w:r>
      <w:r>
        <w:t xml:space="preserve"> </w:t>
      </w:r>
      <w:r>
        <w:rPr>
          <w:b/>
          <w:bCs/>
        </w:rPr>
        <w:t xml:space="preserve">le relais par un avocat AJ</w:t>
      </w:r>
      <w:r>
        <w:t xml:space="preserve"> </w:t>
      </w:r>
      <w:r>
        <w:t xml:space="preserve">doit se faire</w:t>
      </w:r>
      <w:r>
        <w:t xml:space="preserve"> </w:t>
      </w:r>
      <w:r>
        <w:rPr>
          <w:b/>
          <w:bCs/>
        </w:rPr>
        <w:t xml:space="preserve">dès que l’AJ est accordée</w:t>
      </w:r>
      <w:r>
        <w:t xml:space="preserve"> </w:t>
      </w:r>
      <w:r>
        <w:t xml:space="preserve">et l’assureur identifié (ou clairement défaillant).</w:t>
      </w:r>
    </w:p>
    <w:p>
      <w:pPr>
        <w:pStyle w:val="BodyText"/>
      </w:pPr>
      <w:r>
        <w:t xml:space="preserve">5°)</w:t>
      </w:r>
      <w:r>
        <w:t xml:space="preserve"> </w:t>
      </w:r>
      <w:r>
        <w:rPr>
          <w:b/>
          <w:bCs/>
        </w:rPr>
        <w:t xml:space="preserve">Huissier : avant ou après l’ordonnance ?</w:t>
      </w:r>
    </w:p>
    <w:p>
      <w:pPr>
        <w:pStyle w:val="BodyText"/>
      </w:pPr>
      <w:r>
        <w:t xml:space="preserve">Vu que tu n’as aucun budget, je ferais exactement ce que tu envisages :</w:t>
      </w:r>
    </w:p>
    <w:p>
      <w:pPr>
        <w:numPr>
          <w:ilvl w:val="0"/>
          <w:numId w:val="1026"/>
        </w:numPr>
      </w:pPr>
      <w:r>
        <w:t xml:space="preserve">15 juillet : photos, constat personnel, témoins, plainte complémentaire, requête 145.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Huissier</w:t>
      </w:r>
      <w:r>
        <w:t xml:space="preserve"> </w:t>
      </w:r>
      <w:r>
        <w:t xml:space="preserve">:</w:t>
      </w:r>
    </w:p>
    <w:p>
      <w:pPr>
        <w:numPr>
          <w:ilvl w:val="1"/>
          <w:numId w:val="1027"/>
        </w:numPr>
      </w:pPr>
      <w:r>
        <w:t xml:space="preserve">idéalement après une</w:t>
      </w:r>
      <w:r>
        <w:t xml:space="preserve"> </w:t>
      </w:r>
      <w:r>
        <w:rPr>
          <w:b/>
          <w:bCs/>
        </w:rPr>
        <w:t xml:space="preserve">ordonnance art. 145</w:t>
      </w:r>
      <w:r>
        <w:t xml:space="preserve"> </w:t>
      </w:r>
      <w:r>
        <w:t xml:space="preserve">(qui peut prévoir ou faciliter un constat),</w:t>
      </w:r>
    </w:p>
    <w:p>
      <w:pPr>
        <w:numPr>
          <w:ilvl w:val="1"/>
          <w:numId w:val="1027"/>
        </w:numPr>
      </w:pPr>
      <w:r>
        <w:t xml:space="preserve">et seulement une fois l’</w:t>
      </w:r>
      <w:r>
        <w:rPr>
          <w:b/>
          <w:bCs/>
        </w:rPr>
        <w:t xml:space="preserve">AJ</w:t>
      </w:r>
      <w:r>
        <w:t xml:space="preserve"> </w:t>
      </w:r>
      <w:r>
        <w:t xml:space="preserve">accordée, pour que le coût soit pris en charge.</w:t>
      </w:r>
    </w:p>
    <w:p>
      <w:pPr>
        <w:pStyle w:val="FirstParagraph"/>
      </w:pPr>
      <w:r>
        <w:t xml:space="preserve">À court terme,</w:t>
      </w:r>
      <w:r>
        <w:t xml:space="preserve"> </w:t>
      </w:r>
      <w:r>
        <w:rPr>
          <w:b/>
          <w:bCs/>
        </w:rPr>
        <w:t xml:space="preserve">photos + constat personnel + PV de plainte + réquisitions pénales</w:t>
      </w:r>
      <w:r>
        <w:t xml:space="preserve"> </w:t>
      </w:r>
      <w:r>
        <w:t xml:space="preserve">constituent déjà un socle probatoire suffisant pour ne pas rester inactif.</w:t>
      </w:r>
    </w:p>
    <w:p>
      <w:pPr>
        <w:pBdr>
          <w:bottom w:val="single" w:sz="6" w:space="8" w:color="1B3A5C"/>
        </w:pBdr>
        <w:spacing w:before="240" w:after="240"/>
      </w:pPr>
    </w:p>
    <w:bookmarkEnd w:id="25"/>
    <w:bookmarkStart w:id="26" w:name="X35f6b3d501744c34b56e36f5508b98a50a08c46"/>
    <w:p>
      <w:pPr>
        <w:pStyle w:val="Heading3"/>
      </w:pPr>
      <w:r>
        <w:t xml:space="preserve">E) Action directe contre l’assureur et dirigeants de la SAS</w:t>
      </w:r>
    </w:p>
    <w:p>
      <w:pPr>
        <w:pStyle w:val="FirstParagraph"/>
      </w:pPr>
      <w:r>
        <w:t xml:space="preserve">1°)</w:t>
      </w:r>
      <w:r>
        <w:t xml:space="preserve"> </w:t>
      </w:r>
      <w:r>
        <w:rPr>
          <w:b/>
          <w:bCs/>
        </w:rPr>
        <w:t xml:space="preserve">Action directe sans connaître l’assureur : non</w:t>
      </w:r>
    </w:p>
    <w:p>
      <w:pPr>
        <w:pStyle w:val="BodyText"/>
      </w:pPr>
      <w:r>
        <w:t xml:space="preserve">L’article L.124-3 C. assur. donne au tiers lésé (toi) une action directe contre</w:t>
      </w:r>
      <w:r>
        <w:t xml:space="preserve"> </w:t>
      </w:r>
      <w:r>
        <w:rPr>
          <w:b/>
          <w:bCs/>
        </w:rPr>
        <w:t xml:space="preserve">l’assureur de la personne responsable</w:t>
      </w:r>
      <w:hyperlink w:anchor="ref-6">
        <w:r>
          <w:rPr>
            <w:vertAlign w:val="superscript"/>
          </w:rPr>
          <w:t>6</w:t>
        </w:r>
      </w:hyperlink>
      <w:r>
        <w:t xml:space="preserve">.</w:t>
      </w:r>
    </w:p>
    <w:p>
      <w:pPr>
        <w:pStyle w:val="BodyText"/>
      </w:pPr>
      <w:r>
        <w:t xml:space="preserve">Tant que l’assureur n’est pas identifié, l’action directe est</w:t>
      </w:r>
      <w:r>
        <w:t xml:space="preserve"> </w:t>
      </w:r>
      <w:r>
        <w:rPr>
          <w:b/>
          <w:bCs/>
        </w:rPr>
        <w:t xml:space="preserve">juridiquement inopérante</w:t>
      </w:r>
      <w:r>
        <w:t xml:space="preserve"> </w:t>
      </w:r>
      <w:r>
        <w:t xml:space="preserve">: pas d’assignation possible contre « un assureur inconnu ».</w:t>
      </w:r>
    </w:p>
    <w:p>
      <w:pPr>
        <w:pStyle w:val="BodyText"/>
      </w:pPr>
      <w:r>
        <w:t xml:space="preserve">Tu as bien fait de marquer ton</w:t>
      </w:r>
      <w:r>
        <w:t xml:space="preserve"> </w:t>
      </w:r>
      <w:r>
        <w:rPr>
          <w:b/>
          <w:bCs/>
        </w:rPr>
        <w:t xml:space="preserve">projet d’action directe comme inopérant à ce stade</w:t>
      </w:r>
      <w:r>
        <w:t xml:space="preserve">. On le ressortira</w:t>
      </w:r>
      <w:r>
        <w:t xml:space="preserve"> </w:t>
      </w:r>
      <w:r>
        <w:rPr>
          <w:b/>
          <w:bCs/>
        </w:rPr>
        <w:t xml:space="preserve">après</w:t>
      </w:r>
      <w:r>
        <w:t xml:space="preserve"> </w:t>
      </w:r>
      <w:r>
        <w:t xml:space="preserve">l’identification de l’assureur (par Art. 145, par le pénal, ou par le bailleur).</w:t>
      </w:r>
    </w:p>
    <w:p>
      <w:pPr>
        <w:pStyle w:val="BodyText"/>
      </w:pPr>
      <w:r>
        <w:t xml:space="preserve">2°)</w:t>
      </w:r>
      <w:r>
        <w:t xml:space="preserve"> </w:t>
      </w:r>
      <w:r>
        <w:rPr>
          <w:b/>
          <w:bCs/>
        </w:rPr>
        <w:t xml:space="preserve">Faut-il assigner personnellement les dirigeants (faute séparable) ?</w:t>
      </w:r>
    </w:p>
    <w:p>
      <w:pPr>
        <w:pStyle w:val="BodyText"/>
      </w:pPr>
      <w:r>
        <w:t xml:space="preserve">En l’état :</w:t>
      </w:r>
    </w:p>
    <w:p>
      <w:pPr>
        <w:numPr>
          <w:ilvl w:val="0"/>
          <w:numId w:val="1028"/>
        </w:numPr>
      </w:pPr>
      <w:r>
        <w:t xml:space="preserve">capital de 200 € et silence des dirigeants → indice d’</w:t>
      </w:r>
      <w:r>
        <w:rPr>
          <w:b/>
          <w:bCs/>
        </w:rPr>
        <w:t xml:space="preserve">insolvabilité</w:t>
      </w:r>
      <w:r>
        <w:t xml:space="preserve"> </w:t>
      </w:r>
      <w:r>
        <w:t xml:space="preserve">et de mauvaise gestion,</w:t>
      </w:r>
    </w:p>
    <w:p>
      <w:pPr>
        <w:numPr>
          <w:ilvl w:val="0"/>
          <w:numId w:val="1028"/>
        </w:numPr>
      </w:pPr>
      <w:r>
        <w:t xml:space="preserve">mais ce n’est</w:t>
      </w:r>
      <w:r>
        <w:t xml:space="preserve"> </w:t>
      </w:r>
      <w:r>
        <w:rPr>
          <w:b/>
          <w:bCs/>
        </w:rPr>
        <w:t xml:space="preserve">pas suffisant</w:t>
      </w:r>
      <w:r>
        <w:t xml:space="preserve"> </w:t>
      </w:r>
      <w:r>
        <w:t xml:space="preserve">pour caractériser une « faute séparable de leurs fonctions » au sens de la jurisprudence (faute intentionnelle d’une gravité particulière, incompatible avec l’exercice normal des fonctions).</w:t>
      </w:r>
    </w:p>
    <w:p>
      <w:pPr>
        <w:pStyle w:val="FirstParagraph"/>
      </w:pPr>
      <w:r>
        <w:t xml:space="preserve">À ta place, je</w:t>
      </w:r>
      <w:r>
        <w:t xml:space="preserve"> </w:t>
      </w:r>
      <w:r>
        <w:rPr>
          <w:b/>
          <w:bCs/>
        </w:rPr>
        <w:t xml:space="preserve">n’assignerais pas les dirigeants tout de suite</w:t>
      </w:r>
      <w:r>
        <w:t xml:space="preserve"> </w:t>
      </w:r>
      <w:r>
        <w:t xml:space="preserve">:</w:t>
      </w:r>
    </w:p>
    <w:p>
      <w:pPr>
        <w:numPr>
          <w:ilvl w:val="0"/>
          <w:numId w:val="1029"/>
        </w:numPr>
      </w:pPr>
      <w:r>
        <w:t xml:space="preserve">prioriser : société + assureur,</w:t>
      </w:r>
    </w:p>
    <w:p>
      <w:pPr>
        <w:numPr>
          <w:ilvl w:val="0"/>
          <w:numId w:val="1029"/>
        </w:numPr>
      </w:pPr>
      <w:r>
        <w:t xml:space="preserve">n’envisager une action personnelle contre les dirigeants que :</w:t>
      </w:r>
    </w:p>
    <w:p>
      <w:pPr>
        <w:numPr>
          <w:ilvl w:val="1"/>
          <w:numId w:val="1030"/>
        </w:numPr>
      </w:pPr>
      <w:r>
        <w:t xml:space="preserve">si la société est</w:t>
      </w:r>
      <w:r>
        <w:t xml:space="preserve"> </w:t>
      </w:r>
      <w:r>
        <w:rPr>
          <w:b/>
          <w:bCs/>
        </w:rPr>
        <w:t xml:space="preserve">judiciairement morte</w:t>
      </w:r>
      <w:r>
        <w:t xml:space="preserve"> </w:t>
      </w:r>
      <w:r>
        <w:t xml:space="preserve">(liquidation, disparition organisée),</w:t>
      </w:r>
    </w:p>
    <w:p>
      <w:pPr>
        <w:numPr>
          <w:ilvl w:val="1"/>
          <w:numId w:val="1030"/>
        </w:numPr>
      </w:pPr>
      <w:r>
        <w:t xml:space="preserve">et si on peut démontrer un comportement</w:t>
      </w:r>
      <w:r>
        <w:t xml:space="preserve"> </w:t>
      </w:r>
      <w:r>
        <w:rPr>
          <w:b/>
          <w:bCs/>
        </w:rPr>
        <w:t xml:space="preserve">frauduleux ou volontairement obstructionniste</w:t>
      </w:r>
      <w:r>
        <w:t xml:space="preserve"> </w:t>
      </w:r>
      <w:r>
        <w:t xml:space="preserve">(organisation d’insolvabilité, mensonges délibérés pour faire disparaître les preuves, etc.).</w:t>
      </w:r>
    </w:p>
    <w:p>
      <w:pPr>
        <w:pBdr>
          <w:bottom w:val="single" w:sz="6" w:space="8" w:color="1B3A5C"/>
        </w:pBdr>
        <w:spacing w:before="240" w:after="240"/>
      </w:pPr>
    </w:p>
    <w:bookmarkEnd w:id="26"/>
    <w:bookmarkStart w:id="27" w:name="X04ad308793550e0c7ed869d648b929e72da6d80"/>
    <w:p>
      <w:pPr>
        <w:pStyle w:val="Heading3"/>
      </w:pPr>
      <w:r>
        <w:t xml:space="preserve">F) FGTI / CIVI : l’insolvabilité est-elle déjà établie ?</w:t>
      </w:r>
    </w:p>
    <w:p>
      <w:pPr>
        <w:pStyle w:val="FirstParagraph"/>
      </w:pPr>
      <w:r>
        <w:t xml:space="preserve">Les textes CIVI/FGTI exigent surtout :</w:t>
      </w:r>
    </w:p>
    <w:p>
      <w:pPr>
        <w:numPr>
          <w:ilvl w:val="0"/>
          <w:numId w:val="1031"/>
        </w:numPr>
      </w:pPr>
      <w:r>
        <w:t xml:space="preserve">des faits</w:t>
      </w:r>
      <w:r>
        <w:t xml:space="preserve"> </w:t>
      </w:r>
      <w:r>
        <w:rPr>
          <w:b/>
          <w:bCs/>
        </w:rPr>
        <w:t xml:space="preserve">présentant le caractère matériel d’une infraction</w:t>
      </w:r>
      <w:r>
        <w:t xml:space="preserve"> </w:t>
      </w:r>
      <w:r>
        <w:t xml:space="preserve">(ici, blessures involontaires, potentiellement mise en danger)</w:t>
      </w:r>
      <w:hyperlink w:anchor="ref-12">
        <w:r>
          <w:rPr>
            <w:vertAlign w:val="superscript"/>
          </w:rPr>
          <w:t>12</w:t>
        </w:r>
      </w:hyperlink>
      <w:r>
        <w:t xml:space="preserve">,</w:t>
      </w:r>
    </w:p>
    <w:p>
      <w:pPr>
        <w:numPr>
          <w:ilvl w:val="0"/>
          <w:numId w:val="1031"/>
        </w:numPr>
      </w:pPr>
      <w:r>
        <w:t xml:space="preserve">une ITT ≥ 1 mois (56 jours dans ton cas),</w:t>
      </w:r>
    </w:p>
    <w:p>
      <w:pPr>
        <w:numPr>
          <w:ilvl w:val="0"/>
          <w:numId w:val="1031"/>
        </w:numPr>
      </w:pPr>
      <w:r>
        <w:t xml:space="preserve">et le fait que tu ne puisses pas obtenir «</w:t>
      </w:r>
      <w:r>
        <w:t xml:space="preserve"> </w:t>
      </w:r>
      <w:r>
        <w:rPr>
          <w:b/>
          <w:bCs/>
        </w:rPr>
        <w:t xml:space="preserve">une indemnisation effective et suffisante</w:t>
      </w:r>
      <w:r>
        <w:t xml:space="preserve"> </w:t>
      </w:r>
      <w:r>
        <w:t xml:space="preserve">» de ton préjudice, ce qui inclut les situations où l’auteur est insolvable ou non assuré</w:t>
      </w:r>
      <w:hyperlink w:anchor="ref-19">
        <w:r>
          <w:rPr>
            <w:vertAlign w:val="superscript"/>
          </w:rPr>
          <w:t>19</w:t>
        </w:r>
      </w:hyperlink>
      <w:r>
        <w:rPr>
          <w:vertAlign w:val="superscript"/>
        </w:rPr>
        <w:t xml:space="preserve">,</w:t>
      </w:r>
      <w:hyperlink w:anchor="ref-18">
        <w:r>
          <w:rPr>
            <w:vertAlign w:val="superscript"/>
          </w:rPr>
          <w:t>18</w:t>
        </w:r>
      </w:hyperlink>
      <w:r>
        <w:t xml:space="preserve">.</w:t>
      </w:r>
    </w:p>
    <w:p>
      <w:pPr>
        <w:pStyle w:val="FirstParagraph"/>
      </w:pPr>
      <w:r>
        <w:t xml:space="preserve">À ce jour :</w:t>
      </w:r>
    </w:p>
    <w:p>
      <w:pPr>
        <w:numPr>
          <w:ilvl w:val="0"/>
          <w:numId w:val="1032"/>
        </w:numPr>
      </w:pPr>
      <w:r>
        <w:t xml:space="preserve">Tu</w:t>
      </w:r>
      <w:r>
        <w:t xml:space="preserve"> </w:t>
      </w:r>
      <w:r>
        <w:rPr>
          <w:b/>
          <w:bCs/>
        </w:rPr>
        <w:t xml:space="preserve">ne sais pas encore</w:t>
      </w:r>
      <w:r>
        <w:t xml:space="preserve"> </w:t>
      </w:r>
      <w:r>
        <w:t xml:space="preserve">s’il existe une assurance RC,</w:t>
      </w:r>
    </w:p>
    <w:p>
      <w:pPr>
        <w:numPr>
          <w:ilvl w:val="0"/>
          <w:numId w:val="1032"/>
        </w:numPr>
      </w:pPr>
      <w:r>
        <w:t xml:space="preserve">Tu</w:t>
      </w:r>
      <w:r>
        <w:t xml:space="preserve"> </w:t>
      </w:r>
      <w:r>
        <w:rPr>
          <w:b/>
          <w:bCs/>
        </w:rPr>
        <w:t xml:space="preserve">ne sais pas</w:t>
      </w:r>
      <w:r>
        <w:t xml:space="preserve"> </w:t>
      </w:r>
      <w:r>
        <w:t xml:space="preserve">si la société est juridiquement insolvable (pas de liquidation publiée),</w:t>
      </w:r>
    </w:p>
    <w:p>
      <w:pPr>
        <w:numPr>
          <w:ilvl w:val="0"/>
          <w:numId w:val="1032"/>
        </w:numPr>
      </w:pPr>
      <w:r>
        <w:t xml:space="preserve">Simplement : tout laisse craindre qu’il n’y ait</w:t>
      </w:r>
      <w:r>
        <w:t xml:space="preserve"> </w:t>
      </w:r>
      <w:r>
        <w:rPr>
          <w:b/>
          <w:bCs/>
        </w:rPr>
        <w:t xml:space="preserve">ni caisse ni assurance facilement mobilisable</w:t>
      </w:r>
      <w:r>
        <w:t xml:space="preserve">.</w:t>
      </w:r>
    </w:p>
    <w:p>
      <w:pPr>
        <w:pStyle w:val="FirstParagraph"/>
      </w:pPr>
      <w:r>
        <w:t xml:space="preserve">En tant qu’avocat, je considérerais que la condition d’« absence d’indemnisation effective »</w:t>
      </w:r>
      <w:r>
        <w:t xml:space="preserve"> </w:t>
      </w:r>
      <w:r>
        <w:rPr>
          <w:b/>
          <w:bCs/>
        </w:rPr>
        <w:t xml:space="preserve">n’est pas encore établie</w:t>
      </w:r>
      <w:r>
        <w:t xml:space="preserve"> </w:t>
      </w:r>
      <w:r>
        <w:t xml:space="preserve">de manière suffisamment nette pour une CIVI :</w:t>
      </w:r>
    </w:p>
    <w:p>
      <w:pPr>
        <w:numPr>
          <w:ilvl w:val="0"/>
          <w:numId w:val="1033"/>
        </w:numPr>
      </w:pPr>
      <w:r>
        <w:t xml:space="preserve">il faut d’abord</w:t>
      </w:r>
      <w:r>
        <w:t xml:space="preserve"> </w:t>
      </w:r>
      <w:r>
        <w:rPr>
          <w:b/>
          <w:bCs/>
        </w:rPr>
        <w:t xml:space="preserve">tenter sérieusement</w:t>
      </w:r>
      <w:r>
        <w:t xml:space="preserve"> </w:t>
      </w:r>
      <w:r>
        <w:t xml:space="preserve">:</w:t>
      </w:r>
    </w:p>
    <w:p>
      <w:pPr>
        <w:numPr>
          <w:ilvl w:val="1"/>
          <w:numId w:val="1034"/>
        </w:numPr>
      </w:pPr>
      <w:r>
        <w:t xml:space="preserve">d’identifier l’assureur (Art. 145 + enquête pénale),</w:t>
      </w:r>
    </w:p>
    <w:p>
      <w:pPr>
        <w:numPr>
          <w:ilvl w:val="1"/>
          <w:numId w:val="1034"/>
        </w:numPr>
      </w:pPr>
      <w:r>
        <w:t xml:space="preserve">de voir si la société dispose encore d’un minimum de solvabilité (saisines éventuelles).</w:t>
      </w:r>
    </w:p>
    <w:p>
      <w:pPr>
        <w:pStyle w:val="FirstParagraph"/>
      </w:pPr>
      <w:r>
        <w:t xml:space="preserve">Donc tu as bien fait de marquer ton</w:t>
      </w:r>
      <w:r>
        <w:t xml:space="preserve"> </w:t>
      </w:r>
      <w:r>
        <w:rPr>
          <w:b/>
          <w:bCs/>
        </w:rPr>
        <w:t xml:space="preserve">courrier FGTI comme “obsolète – ne pas relancer” pour l’instant</w:t>
      </w:r>
      <w:r>
        <w:t xml:space="preserve"> </w:t>
      </w:r>
      <w:r>
        <w:t xml:space="preserve">: la saisine FGTI/CIVI sera l’</w:t>
      </w:r>
      <w:r>
        <w:rPr>
          <w:b/>
          <w:bCs/>
        </w:rPr>
        <w:t xml:space="preserve">option de secours</w:t>
      </w:r>
      <w:r>
        <w:t xml:space="preserve"> </w:t>
      </w:r>
      <w:r>
        <w:t xml:space="preserve">si :</w:t>
      </w:r>
    </w:p>
    <w:p>
      <w:pPr>
        <w:numPr>
          <w:ilvl w:val="0"/>
          <w:numId w:val="1035"/>
        </w:numPr>
      </w:pPr>
      <w:r>
        <w:t xml:space="preserve">aucun assureur n’est trouvé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l’assureur nie la garantie,</w:t>
      </w:r>
    </w:p>
    <w:p>
      <w:pPr>
        <w:numPr>
          <w:ilvl w:val="0"/>
          <w:numId w:val="1035"/>
        </w:numPr>
      </w:pPr>
      <w:r>
        <w:t xml:space="preserve">et la société est manifestement insolvable.</w:t>
      </w:r>
    </w:p>
    <w:p>
      <w:pPr>
        <w:pBdr>
          <w:bottom w:val="single" w:sz="6" w:space="8" w:color="1B3A5C"/>
        </w:pBdr>
        <w:spacing w:before="240" w:after="240"/>
      </w:pPr>
    </w:p>
    <w:bookmarkEnd w:id="27"/>
    <w:bookmarkStart w:id="28" w:name="X30537903aa37fafede984d4eb95766c8ee34afd"/>
    <w:p>
      <w:pPr>
        <w:pStyle w:val="Heading3"/>
      </w:pPr>
      <w:r>
        <w:t xml:space="preserve">G) Avocat local (Foix/Pamiers) ou parisien spécialisé dommage corporel ?</w:t>
      </w:r>
    </w:p>
    <w:p>
      <w:pPr>
        <w:pStyle w:val="FirstParagraph"/>
      </w:pPr>
      <w:r>
        <w:t xml:space="preserve">Si j’étais ton avocat conseil, je te dirais 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Compétence en dommage corporel</w:t>
      </w:r>
      <w:r>
        <w:t xml:space="preserve"> </w:t>
      </w:r>
      <w:r>
        <w:t xml:space="preserve">&gt; localisation.</w:t>
      </w:r>
    </w:p>
    <w:p>
      <w:pPr>
        <w:numPr>
          <w:ilvl w:val="0"/>
          <w:numId w:val="1036"/>
        </w:numPr>
      </w:pPr>
      <w:r>
        <w:t xml:space="preserve">Pour la</w:t>
      </w:r>
      <w:r>
        <w:t xml:space="preserve"> </w:t>
      </w:r>
      <w:r>
        <w:rPr>
          <w:b/>
          <w:bCs/>
        </w:rPr>
        <w:t xml:space="preserve">phase judiciaire</w:t>
      </w:r>
      <w:r>
        <w:t xml:space="preserve"> </w:t>
      </w:r>
      <w:r>
        <w:t xml:space="preserve">(référé, fond), un avocat</w:t>
      </w:r>
      <w:r>
        <w:t xml:space="preserve"> </w:t>
      </w:r>
      <w:r>
        <w:rPr>
          <w:b/>
          <w:bCs/>
        </w:rPr>
        <w:t xml:space="preserve">spécialisé en dommage corporel</w:t>
      </w:r>
      <w:r>
        <w:t xml:space="preserve"> </w:t>
      </w:r>
      <w:r>
        <w:t xml:space="preserve">(peu importe qu’il soit à Foix, Toulouse ou Paris) est un vrai plus.</w:t>
      </w:r>
    </w:p>
    <w:p>
      <w:pPr>
        <w:numPr>
          <w:ilvl w:val="0"/>
          <w:numId w:val="1036"/>
        </w:numPr>
      </w:pPr>
      <w:r>
        <w:t xml:space="preserve">En pratique :</w:t>
      </w:r>
    </w:p>
    <w:p>
      <w:pPr>
        <w:numPr>
          <w:ilvl w:val="1"/>
          <w:numId w:val="1037"/>
        </w:numPr>
      </w:pPr>
      <w:r>
        <w:t xml:space="preserve">un avocat de</w:t>
      </w:r>
      <w:r>
        <w:t xml:space="preserve"> </w:t>
      </w:r>
      <w:r>
        <w:rPr>
          <w:b/>
          <w:bCs/>
        </w:rPr>
        <w:t xml:space="preserve">Toulouse</w:t>
      </w:r>
      <w:r>
        <w:t xml:space="preserve"> </w:t>
      </w:r>
      <w:r>
        <w:t xml:space="preserve">ou d’une grande ville proche, rompu aux TJ régionaux et à la CIVI, peut être un bon compromis ;</w:t>
      </w:r>
    </w:p>
    <w:p>
      <w:pPr>
        <w:numPr>
          <w:ilvl w:val="1"/>
          <w:numId w:val="1037"/>
        </w:numPr>
      </w:pPr>
      <w:r>
        <w:t xml:space="preserve">un parisien très spécialisé peut intervenir, mais les déplacements à Foix peuvent être plus lourds (même si de plus en plus d’audiences se font en visio).</w:t>
      </w:r>
    </w:p>
    <w:p>
      <w:pPr>
        <w:pStyle w:val="FirstParagraph"/>
      </w:pPr>
      <w:r>
        <w:t xml:space="preserve">L’essentiel sera :</w:t>
      </w:r>
    </w:p>
    <w:p>
      <w:pPr>
        <w:numPr>
          <w:ilvl w:val="0"/>
          <w:numId w:val="103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spécialisation en dommage corporel / responsabilité civile / CIVI</w:t>
      </w:r>
      <w:r>
        <w:t xml:space="preserve">,</w:t>
      </w:r>
    </w:p>
    <w:p>
      <w:pPr>
        <w:numPr>
          <w:ilvl w:val="0"/>
          <w:numId w:val="1038"/>
        </w:numPr>
      </w:pPr>
      <w:r>
        <w:t xml:space="preserve">et son habitude de travailler</w:t>
      </w:r>
      <w:r>
        <w:t xml:space="preserve"> </w:t>
      </w:r>
      <w:r>
        <w:rPr>
          <w:b/>
          <w:bCs/>
        </w:rPr>
        <w:t xml:space="preserve">avec l’AJ</w:t>
      </w:r>
      <w:r>
        <w:t xml:space="preserve">.</w:t>
      </w:r>
    </w:p>
    <w:p>
      <w:pPr>
        <w:pBdr>
          <w:bottom w:val="single" w:sz="6" w:space="8" w:color="1B3A5C"/>
        </w:pBdr>
        <w:spacing w:before="240" w:after="240"/>
      </w:pPr>
    </w:p>
    <w:bookmarkEnd w:id="28"/>
    <w:bookmarkEnd w:id="29"/>
    <w:bookmarkStart w:id="30" w:name="iii-principaux-risques"/>
    <w:p>
      <w:pPr>
        <w:pStyle w:val="Heading2"/>
      </w:pPr>
      <w:r>
        <w:t xml:space="preserve">III/ Principaux risques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Risque probatoire</w:t>
      </w:r>
      <w:r>
        <w:t xml:space="preserve"> </w:t>
      </w:r>
      <w:r>
        <w:t xml:space="preserve">: destruction des vidéos (très élevé) si Art. 145 et réquisitions pénales n’aboutissent pas rapidement</w:t>
      </w:r>
      <w:hyperlink w:anchor="ref-13">
        <w:r>
          <w:rPr>
            <w:vertAlign w:val="superscript"/>
          </w:rPr>
          <w:t>13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Risque de classement sans suite</w:t>
      </w:r>
      <w:r>
        <w:t xml:space="preserve"> </w:t>
      </w:r>
      <w:r>
        <w:t xml:space="preserve">: si le parquet estime les qualifications pénales trop ambitieuses ou insuffisamment caractérisées (mise en danger, entrave).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Risque procédural</w:t>
      </w:r>
      <w:r>
        <w:t xml:space="preserve"> </w:t>
      </w:r>
      <w:r>
        <w:t xml:space="preserve">:</w:t>
      </w:r>
    </w:p>
    <w:p>
      <w:pPr>
        <w:numPr>
          <w:ilvl w:val="1"/>
          <w:numId w:val="1040"/>
        </w:numPr>
      </w:pPr>
      <w:r>
        <w:t xml:space="preserve">requête Art. 145 jugée trop large ou renvoyée à un référé avec avocat ;</w:t>
      </w:r>
    </w:p>
    <w:p>
      <w:pPr>
        <w:numPr>
          <w:ilvl w:val="1"/>
          <w:numId w:val="1040"/>
        </w:numPr>
      </w:pPr>
      <w:r>
        <w:t xml:space="preserve">AJ provisoire refusée si le dossier est mal ficelé.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Risque financier</w:t>
      </w:r>
      <w:r>
        <w:t xml:space="preserve"> </w:t>
      </w:r>
      <w:r>
        <w:t xml:space="preserve">: si, à terme, la SAS est réellement un « coquille vide » sans assurance ni actif, il faudra compter davantage sur</w:t>
      </w:r>
      <w:r>
        <w:t xml:space="preserve"> </w:t>
      </w:r>
      <w:r>
        <w:rPr>
          <w:b/>
          <w:bCs/>
        </w:rPr>
        <w:t xml:space="preserve">CIVI/FGTI</w:t>
      </w:r>
      <w:r>
        <w:t xml:space="preserve">, avec un délai plus long.</w:t>
      </w:r>
    </w:p>
    <w:p>
      <w:pPr>
        <w:pBdr>
          <w:bottom w:val="single" w:sz="6" w:space="8" w:color="1B3A5C"/>
        </w:pBdr>
        <w:spacing w:before="240" w:after="240"/>
      </w:pPr>
    </w:p>
    <w:bookmarkEnd w:id="30"/>
    <w:bookmarkStart w:id="31" w:name="Xeac8f8cf3dc6d43c57b705589e90e90f27c6ed9"/>
    <w:p>
      <w:pPr>
        <w:pStyle w:val="Heading2"/>
      </w:pPr>
      <w:r>
        <w:t xml:space="preserve">IV/ Ce que je ferais très concrètement à ta place</w:t>
      </w:r>
    </w:p>
    <w:p>
      <w:pPr>
        <w:pStyle w:val="FirstParagraph"/>
      </w:pPr>
      <w:r>
        <w:t xml:space="preserve">1°)</w:t>
      </w:r>
      <w:r>
        <w:t xml:space="preserve"> </w:t>
      </w:r>
      <w:r>
        <w:rPr>
          <w:b/>
          <w:bCs/>
        </w:rPr>
        <w:t xml:space="preserve">D’ici le 15 juillet</w:t>
      </w:r>
    </w:p>
    <w:p>
      <w:pPr>
        <w:numPr>
          <w:ilvl w:val="0"/>
          <w:numId w:val="1041"/>
        </w:numPr>
      </w:pPr>
      <w:r>
        <w:t xml:space="preserve">Finaliser la</w:t>
      </w:r>
      <w:r>
        <w:t xml:space="preserve"> </w:t>
      </w:r>
      <w:r>
        <w:rPr>
          <w:b/>
          <w:bCs/>
        </w:rPr>
        <w:t xml:space="preserve">requête Art. 145</w:t>
      </w:r>
      <w:r>
        <w:t xml:space="preserve"> </w:t>
      </w:r>
      <w:r>
        <w:t xml:space="preserve">(claire, factuelle, pièces numérotées).</w:t>
      </w:r>
    </w:p>
    <w:p>
      <w:pPr>
        <w:numPr>
          <w:ilvl w:val="0"/>
          <w:numId w:val="1041"/>
        </w:numPr>
      </w:pPr>
      <w:r>
        <w:t xml:space="preserve">Finaliser le dossier</w:t>
      </w:r>
      <w:r>
        <w:t xml:space="preserve"> </w:t>
      </w:r>
      <w:r>
        <w:rPr>
          <w:b/>
          <w:bCs/>
        </w:rPr>
        <w:t xml:space="preserve">AJ</w:t>
      </w:r>
      <w:r>
        <w:t xml:space="preserve"> </w:t>
      </w:r>
      <w:r>
        <w:t xml:space="preserve">(CERFA + justificatifs).</w:t>
      </w:r>
    </w:p>
    <w:p>
      <w:pPr>
        <w:numPr>
          <w:ilvl w:val="0"/>
          <w:numId w:val="1041"/>
        </w:numPr>
      </w:pPr>
      <w:r>
        <w:t xml:space="preserve">Vérifier que tous les</w:t>
      </w:r>
      <w:r>
        <w:t xml:space="preserve"> </w:t>
      </w:r>
      <w:r>
        <w:rPr>
          <w:b/>
          <w:bCs/>
        </w:rPr>
        <w:t xml:space="preserve">documents à apporter à Foix</w:t>
      </w:r>
      <w:r>
        <w:t xml:space="preserve"> </w:t>
      </w:r>
      <w:r>
        <w:t xml:space="preserve">sont prêts (comme dans ta checklist).</w:t>
      </w:r>
    </w:p>
    <w:p>
      <w:pPr>
        <w:pStyle w:val="FirstParagraph"/>
      </w:pPr>
      <w:r>
        <w:t xml:space="preserve">2°)</w:t>
      </w:r>
      <w:r>
        <w:t xml:space="preserve"> </w:t>
      </w:r>
      <w:r>
        <w:rPr>
          <w:b/>
          <w:bCs/>
        </w:rPr>
        <w:t xml:space="preserve">Le 15 juillet – respecter ton plan, avec quelques consignes 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Matin TJ Foix</w:t>
      </w:r>
      <w:r>
        <w:t xml:space="preserve"> </w:t>
      </w:r>
      <w:r>
        <w:t xml:space="preserve">:</w:t>
      </w:r>
    </w:p>
    <w:p>
      <w:pPr>
        <w:numPr>
          <w:ilvl w:val="1"/>
          <w:numId w:val="1043"/>
        </w:numPr>
      </w:pPr>
      <w:r>
        <w:t xml:space="preserve">Déposer la requête Art. 145 (2 exemplaires + pièces) → demander un</w:t>
      </w:r>
      <w:r>
        <w:t xml:space="preserve"> </w:t>
      </w:r>
      <w:r>
        <w:rPr>
          <w:b/>
          <w:bCs/>
        </w:rPr>
        <w:t xml:space="preserve">récépissé</w:t>
      </w:r>
      <w:r>
        <w:t xml:space="preserve">.</w:t>
      </w:r>
    </w:p>
    <w:p>
      <w:pPr>
        <w:numPr>
          <w:ilvl w:val="1"/>
          <w:numId w:val="1043"/>
        </w:numPr>
      </w:pPr>
      <w:r>
        <w:t xml:space="preserve">Déposer le dossier d’</w:t>
      </w:r>
      <w:r>
        <w:rPr>
          <w:b/>
          <w:bCs/>
        </w:rPr>
        <w:t xml:space="preserve">AJ totale</w:t>
      </w:r>
      <w:r>
        <w:t xml:space="preserve"> </w:t>
      </w:r>
      <w:r>
        <w:t xml:space="preserve">→ demand er un</w:t>
      </w:r>
      <w:r>
        <w:t xml:space="preserve"> </w:t>
      </w:r>
      <w:r>
        <w:rPr>
          <w:b/>
          <w:bCs/>
        </w:rPr>
        <w:t xml:space="preserve">récépissé</w:t>
      </w:r>
      <w:r>
        <w:t xml:space="preserve"> </w:t>
      </w:r>
      <w:r>
        <w:t xml:space="preserve">et parler de l’</w:t>
      </w:r>
      <w:r>
        <w:rPr>
          <w:b/>
          <w:bCs/>
        </w:rPr>
        <w:t xml:space="preserve">urgence vidéos</w:t>
      </w:r>
      <w:r>
        <w:t xml:space="preserve">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Midi, 22 Rue Lafaurie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Photos, constat personnel, éventuels témoins (comme prévu).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Après-midi, commissariat de Foix</w:t>
      </w:r>
      <w:r>
        <w:t xml:space="preserve"> </w:t>
      </w:r>
      <w:r>
        <w:t xml:space="preserve">:</w:t>
      </w:r>
    </w:p>
    <w:p>
      <w:pPr>
        <w:numPr>
          <w:ilvl w:val="1"/>
          <w:numId w:val="1045"/>
        </w:numPr>
      </w:pPr>
      <w:r>
        <w:t xml:space="preserve">Demander expressément une</w:t>
      </w:r>
      <w:r>
        <w:t xml:space="preserve"> </w:t>
      </w:r>
      <w:r>
        <w:rPr>
          <w:b/>
          <w:bCs/>
        </w:rPr>
        <w:t xml:space="preserve">plainte complémentaire</w:t>
      </w:r>
      <w:r>
        <w:t xml:space="preserve"> </w:t>
      </w:r>
      <w:r>
        <w:t xml:space="preserve">avec référence au PV 2026/015967 ;</w:t>
      </w:r>
    </w:p>
    <w:p>
      <w:pPr>
        <w:numPr>
          <w:ilvl w:val="1"/>
          <w:numId w:val="1045"/>
        </w:numPr>
      </w:pPr>
      <w:r>
        <w:t xml:space="preserve">Présenter les faits + les éléments nouveaux (fermeture, NPAI, difficultés avec l’assurance) ;</w:t>
      </w:r>
    </w:p>
    <w:p>
      <w:pPr>
        <w:numPr>
          <w:ilvl w:val="1"/>
          <w:numId w:val="1045"/>
        </w:numPr>
      </w:pPr>
      <w:r>
        <w:t xml:space="preserve">Proposer les qualifications (blessures involontaires, mise en danger, obstruction) sans t’arc-bouter sur un article précis ;</w:t>
      </w:r>
    </w:p>
    <w:p>
      <w:pPr>
        <w:numPr>
          <w:ilvl w:val="1"/>
          <w:numId w:val="1045"/>
        </w:numPr>
      </w:pPr>
      <w:r>
        <w:t xml:space="preserve">Insister sur la</w:t>
      </w:r>
      <w:r>
        <w:t xml:space="preserve"> </w:t>
      </w:r>
      <w:r>
        <w:rPr>
          <w:b/>
          <w:bCs/>
        </w:rPr>
        <w:t xml:space="preserve">conservation/saisie des vidéos</w:t>
      </w:r>
      <w:r>
        <w:t xml:space="preserve">.</w:t>
      </w:r>
    </w:p>
    <w:p>
      <w:pPr>
        <w:pStyle w:val="FirstParagraph"/>
      </w:pPr>
      <w:r>
        <w:t xml:space="preserve">3°)</w:t>
      </w:r>
      <w:r>
        <w:t xml:space="preserve"> </w:t>
      </w:r>
      <w:r>
        <w:rPr>
          <w:b/>
          <w:bCs/>
        </w:rPr>
        <w:t xml:space="preserve">Après le 15 juillet</w:t>
      </w:r>
    </w:p>
    <w:p>
      <w:pPr>
        <w:numPr>
          <w:ilvl w:val="0"/>
          <w:numId w:val="1046"/>
        </w:numPr>
      </w:pPr>
      <w:r>
        <w:t xml:space="preserve">Suivre :</w:t>
      </w:r>
    </w:p>
    <w:p>
      <w:pPr>
        <w:numPr>
          <w:ilvl w:val="1"/>
          <w:numId w:val="104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réponse du TJ</w:t>
      </w:r>
      <w:r>
        <w:t xml:space="preserve"> </w:t>
      </w:r>
      <w:r>
        <w:t xml:space="preserve">sur l’Art. 145,</w:t>
      </w:r>
    </w:p>
    <w:p>
      <w:pPr>
        <w:numPr>
          <w:ilvl w:val="1"/>
          <w:numId w:val="104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décision AJ</w:t>
      </w:r>
      <w:r>
        <w:t xml:space="preserve">,</w:t>
      </w:r>
    </w:p>
    <w:p>
      <w:pPr>
        <w:numPr>
          <w:ilvl w:val="1"/>
          <w:numId w:val="1047"/>
        </w:numPr>
      </w:pPr>
      <w:r>
        <w:t xml:space="preserve">et l’</w:t>
      </w:r>
      <w:r>
        <w:rPr>
          <w:b/>
          <w:bCs/>
        </w:rPr>
        <w:t xml:space="preserve">enquête pénale</w:t>
      </w:r>
      <w:r>
        <w:t xml:space="preserve"> </w:t>
      </w:r>
      <w:r>
        <w:t xml:space="preserve">(relances régulières, courtoises, mais fermes).</w:t>
      </w:r>
    </w:p>
    <w:p>
      <w:pPr>
        <w:numPr>
          <w:ilvl w:val="0"/>
          <w:numId w:val="1046"/>
        </w:numPr>
      </w:pPr>
      <w:r>
        <w:t xml:space="preserve">Dès que l’AJ est accordée :</w:t>
      </w:r>
    </w:p>
    <w:p>
      <w:pPr>
        <w:numPr>
          <w:ilvl w:val="1"/>
          <w:numId w:val="1048"/>
        </w:numPr>
      </w:pPr>
      <w:r>
        <w:t xml:space="preserve">demander un</w:t>
      </w:r>
      <w:r>
        <w:t xml:space="preserve"> </w:t>
      </w:r>
      <w:r>
        <w:rPr>
          <w:b/>
          <w:bCs/>
        </w:rPr>
        <w:t xml:space="preserve">avocat spécialisé dommage corporel</w:t>
      </w:r>
      <w:r>
        <w:t xml:space="preserve">,</w:t>
      </w:r>
    </w:p>
    <w:p>
      <w:pPr>
        <w:numPr>
          <w:ilvl w:val="1"/>
          <w:numId w:val="1048"/>
        </w:numPr>
      </w:pPr>
      <w:r>
        <w:t xml:space="preserve">lui transmettre ton dossier structuré (plan d’action, checklists, courriers déjà rédigés).</w:t>
      </w:r>
    </w:p>
    <w:p>
      <w:pPr>
        <w:numPr>
          <w:ilvl w:val="0"/>
          <w:numId w:val="1046"/>
        </w:numPr>
      </w:pPr>
      <w:r>
        <w:t xml:space="preserve">Discuter avec lui de la</w:t>
      </w:r>
      <w:r>
        <w:t xml:space="preserve"> </w:t>
      </w:r>
      <w:r>
        <w:rPr>
          <w:b/>
          <w:bCs/>
        </w:rPr>
        <w:t xml:space="preserve">saine articulation</w:t>
      </w:r>
      <w:r>
        <w:t xml:space="preserve"> </w:t>
      </w:r>
      <w:r>
        <w:t xml:space="preserve">:</w:t>
      </w:r>
    </w:p>
    <w:p>
      <w:pPr>
        <w:numPr>
          <w:ilvl w:val="1"/>
          <w:numId w:val="1049"/>
        </w:numPr>
      </w:pPr>
      <w:r>
        <w:t xml:space="preserve">référé-provision,</w:t>
      </w:r>
    </w:p>
    <w:p>
      <w:pPr>
        <w:numPr>
          <w:ilvl w:val="1"/>
          <w:numId w:val="1049"/>
        </w:numPr>
      </w:pPr>
      <w:r>
        <w:t xml:space="preserve">expertise médicale (ne pas attendre uniquement l’UMJ de novembre 2026),</w:t>
      </w:r>
    </w:p>
    <w:p>
      <w:pPr>
        <w:numPr>
          <w:ilvl w:val="1"/>
          <w:numId w:val="1049"/>
        </w:numPr>
      </w:pPr>
      <w:r>
        <w:t xml:space="preserve">puis instance au fond.</w:t>
      </w:r>
    </w:p>
    <w:p>
      <w:pPr>
        <w:pStyle w:val="FirstParagraph"/>
      </w:pPr>
      <w:r>
        <w:t xml:space="preserve">4°)</w:t>
      </w:r>
      <w:r>
        <w:t xml:space="preserve"> </w:t>
      </w:r>
      <w:r>
        <w:rPr>
          <w:b/>
          <w:bCs/>
        </w:rPr>
        <w:t xml:space="preserve">FGTI/CIVI</w:t>
      </w:r>
    </w:p>
    <w:p>
      <w:pPr>
        <w:numPr>
          <w:ilvl w:val="0"/>
          <w:numId w:val="1050"/>
        </w:numPr>
      </w:pPr>
      <w:r>
        <w:t xml:space="preserve">Garder cette voie</w:t>
      </w:r>
      <w:r>
        <w:t xml:space="preserve"> </w:t>
      </w:r>
      <w:r>
        <w:rPr>
          <w:b/>
          <w:bCs/>
        </w:rPr>
        <w:t xml:space="preserve">en réserve</w:t>
      </w:r>
      <w:r>
        <w:t xml:space="preserve">, à déclencher :</w:t>
      </w:r>
    </w:p>
    <w:p>
      <w:pPr>
        <w:numPr>
          <w:ilvl w:val="1"/>
          <w:numId w:val="1051"/>
        </w:numPr>
      </w:pPr>
      <w:r>
        <w:t xml:space="preserve">si, après Art. 145 et l’enquête pénale, il est clair qu’il</w:t>
      </w:r>
      <w:r>
        <w:t xml:space="preserve"> </w:t>
      </w:r>
      <w:r>
        <w:rPr>
          <w:b/>
          <w:bCs/>
        </w:rPr>
        <w:t xml:space="preserve">n’y a pas d’assurance RC</w:t>
      </w:r>
      <w:r>
        <w:t xml:space="preserve"> </w:t>
      </w:r>
      <w:r>
        <w:t xml:space="preserve">utilisable,</w:t>
      </w:r>
    </w:p>
    <w:p>
      <w:pPr>
        <w:numPr>
          <w:ilvl w:val="1"/>
          <w:numId w:val="1051"/>
        </w:numPr>
      </w:pPr>
      <w:r>
        <w:t xml:space="preserve">ou si l’exploitant est</w:t>
      </w:r>
      <w:r>
        <w:t xml:space="preserve"> </w:t>
      </w:r>
      <w:r>
        <w:rPr>
          <w:b/>
          <w:bCs/>
        </w:rPr>
        <w:t xml:space="preserve">manifestement insolvable</w:t>
      </w:r>
      <w:r>
        <w:t xml:space="preserve">.</w:t>
      </w:r>
    </w:p>
    <w:p>
      <w:pPr>
        <w:numPr>
          <w:ilvl w:val="0"/>
          <w:numId w:val="1050"/>
        </w:numPr>
      </w:pPr>
      <w:r>
        <w:t xml:space="preserve">À ce moment, on montera un dossier</w:t>
      </w:r>
      <w:r>
        <w:t xml:space="preserve"> </w:t>
      </w:r>
      <w:r>
        <w:rPr>
          <w:b/>
          <w:bCs/>
        </w:rPr>
        <w:t xml:space="preserve">CIVI</w:t>
      </w:r>
      <w:r>
        <w:t xml:space="preserve"> </w:t>
      </w:r>
      <w:r>
        <w:t xml:space="preserve">complet (706-3 CPP), avec tous les certificats, l’ITT, les démarches civiles et pénales déjà entreprises</w:t>
      </w:r>
      <w:hyperlink w:anchor="ref-12">
        <w:r>
          <w:rPr>
            <w:vertAlign w:val="superscript"/>
          </w:rPr>
          <w:t>12</w:t>
        </w:r>
      </w:hyperlink>
      <w:r>
        <w:rPr>
          <w:vertAlign w:val="superscript"/>
        </w:rPr>
        <w:t xml:space="preserve">,</w:t>
      </w:r>
      <w:hyperlink w:anchor="ref-18">
        <w:r>
          <w:rPr>
            <w:vertAlign w:val="superscript"/>
          </w:rPr>
          <w:t>18</w:t>
        </w:r>
      </w:hyperlink>
      <w:r>
        <w:t xml:space="preserve">.</w:t>
      </w:r>
    </w:p>
    <w:p>
      <w:pPr>
        <w:pBdr>
          <w:bottom w:val="single" w:sz="6" w:space="8" w:color="1B3A5C"/>
        </w:pBdr>
        <w:spacing w:before="240" w:after="240"/>
      </w:pPr>
    </w:p>
    <w:bookmarkEnd w:id="31"/>
    <w:bookmarkStart w:id="33" w:name="v-limites-points-de-vigilance"/>
    <w:p>
      <w:pPr>
        <w:pStyle w:val="Heading2"/>
      </w:pPr>
      <w:r>
        <w:t xml:space="preserve">V/ Limites &amp; points de vigilance</w:t>
      </w:r>
    </w:p>
    <w:p>
      <w:pPr>
        <w:numPr>
          <w:ilvl w:val="0"/>
          <w:numId w:val="1052"/>
        </w:numPr>
      </w:pPr>
      <w:r>
        <w:t xml:space="preserve">Certaines réponses dépendent de la</w:t>
      </w:r>
      <w:r>
        <w:t xml:space="preserve"> </w:t>
      </w:r>
      <w:r>
        <w:rPr>
          <w:b/>
          <w:bCs/>
        </w:rPr>
        <w:t xml:space="preserve">pratique locale</w:t>
      </w:r>
      <w:r>
        <w:t xml:space="preserve"> </w:t>
      </w:r>
      <w:r>
        <w:t xml:space="preserve">du TJ de Foix (acceptation de la requête 145 sans avocat) et du commissariat (qualification retenue).</w:t>
      </w:r>
    </w:p>
    <w:p>
      <w:pPr>
        <w:numPr>
          <w:ilvl w:val="0"/>
          <w:numId w:val="1052"/>
        </w:numPr>
      </w:pPr>
      <w:r>
        <w:t xml:space="preserve">Je n’ai pas sous les yeux le</w:t>
      </w:r>
      <w:r>
        <w:t xml:space="preserve"> </w:t>
      </w:r>
      <w:r>
        <w:rPr>
          <w:b/>
          <w:bCs/>
        </w:rPr>
        <w:t xml:space="preserve">contenu exact</w:t>
      </w:r>
      <w:r>
        <w:t xml:space="preserve"> </w:t>
      </w:r>
      <w:r>
        <w:t xml:space="preserve">de tous les PV déjà dressés, ni les éventuels retours de l’enquête de Toulouse.</w:t>
      </w:r>
    </w:p>
    <w:p>
      <w:pPr>
        <w:numPr>
          <w:ilvl w:val="0"/>
          <w:numId w:val="1052"/>
        </w:numPr>
      </w:pPr>
      <w:r>
        <w:t xml:space="preserve">Les textes sur les obligations d’assurance des salons de coiffure peuvent renvoyer à des normes professionnelles précises : ce sera à explorer avec l’avocat AJ une fois désigné.</w:t>
      </w:r>
    </w:p>
    <w:p>
      <w:pPr>
        <w:numPr>
          <w:ilvl w:val="0"/>
          <w:numId w:val="1052"/>
        </w:numPr>
      </w:pPr>
      <w:r>
        <w:t xml:space="preserve">L’infraction précise d’« obstruction à la justice » sera appréciée par le parquet (ne pas se braquer sur un numéro d’article).</w:t>
      </w:r>
    </w:p>
    <w:p>
      <w:pPr>
        <w:pBdr>
          <w:bottom w:val="single" w:sz="6" w:space="8" w:color="1B3A5C"/>
        </w:pBdr>
        <w:spacing w:before="240" w:after="240"/>
      </w:pPr>
    </w:p>
    <w:bookmarkStart w:id="32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En l’état, ta stratégie est</w:t>
      </w:r>
      <w:r>
        <w:t xml:space="preserve"> </w:t>
      </w:r>
      <w:r>
        <w:rPr>
          <w:b/>
          <w:bCs/>
        </w:rPr>
        <w:t xml:space="preserve">bien construite et juridiquement défendable</w:t>
      </w:r>
      <w:r>
        <w:t xml:space="preserve"> </w:t>
      </w:r>
      <w:r>
        <w:t xml:space="preserve">: priorité à la</w:t>
      </w:r>
      <w:r>
        <w:t xml:space="preserve"> </w:t>
      </w:r>
      <w:r>
        <w:rPr>
          <w:b/>
          <w:bCs/>
        </w:rPr>
        <w:t xml:space="preserve">conservation des preuves</w:t>
      </w:r>
      <w:r>
        <w:t xml:space="preserve"> </w:t>
      </w:r>
      <w:r>
        <w:t xml:space="preserve">et à l’</w:t>
      </w:r>
      <w:r>
        <w:rPr>
          <w:b/>
          <w:bCs/>
        </w:rPr>
        <w:t xml:space="preserve">identification de l’assureur</w:t>
      </w:r>
      <w:r>
        <w:t xml:space="preserve"> </w:t>
      </w:r>
      <w:r>
        <w:t xml:space="preserve">(Art. 145 + plainte complémentaire), dépôt d’un</w:t>
      </w:r>
      <w:r>
        <w:t xml:space="preserve"> </w:t>
      </w:r>
      <w:r>
        <w:rPr>
          <w:b/>
          <w:bCs/>
        </w:rPr>
        <w:t xml:space="preserve">dossier d’Aide Juridictionnelle</w:t>
      </w:r>
      <w:r>
        <w:t xml:space="preserve"> </w:t>
      </w:r>
      <w:r>
        <w:t xml:space="preserve">pour obtenir un avocat et un huissier sans avance de frais, puis, une fois ces deux leviers en place,</w:t>
      </w:r>
      <w:r>
        <w:t xml:space="preserve"> </w:t>
      </w:r>
      <w:r>
        <w:rPr>
          <w:b/>
          <w:bCs/>
        </w:rPr>
        <w:t xml:space="preserve">référé-provision</w:t>
      </w:r>
      <w:r>
        <w:t xml:space="preserve"> </w:t>
      </w:r>
      <w:r>
        <w:t xml:space="preserve">et suite civile, avec CIVI/FGTI en ultime filet de sécurité.</w:t>
      </w:r>
    </w:p>
    <w:p>
      <w:pPr>
        <w:pStyle w:val="BodyText"/>
      </w:pPr>
      <w:r>
        <w:t xml:space="preserve">Souhaites-tu maintenant que je t’aide à transformer ce plan en une</w:t>
      </w:r>
      <w:r>
        <w:t xml:space="preserve"> </w:t>
      </w:r>
      <w:r>
        <w:rPr>
          <w:b/>
          <w:bCs/>
        </w:rPr>
        <w:t xml:space="preserve">liste ultra opérationnelle “après 15 juillet”</w:t>
      </w:r>
      <w:r>
        <w:t xml:space="preserve"> </w:t>
      </w:r>
      <w:r>
        <w:t xml:space="preserve">(que faire chaque semaine : relances, vérifications, préparation avec l’avocat AJ) ?</w:t>
      </w:r>
    </w:p>
    <w:p>
      <w:pPr>
        <w:spacing w:before="480" w:after="0"/>
      </w:pPr>
    </w:p>
    <w:bookmarkEnd w:id="32"/>
    <w:bookmarkEnd w:id="33"/>
    <w:bookmarkStart w:id="53" w:name="sources"/>
    <w:p>
      <w:pPr>
        <w:pStyle w:val="Heading2"/>
      </w:pPr>
      <w:r>
        <w:t xml:space="preserve">Sources</w:t>
      </w:r>
    </w:p>
    <w:p>
      <w:pPr>
        <w:pStyle w:val="Bibliography"/>
      </w:pPr>
      <w:bookmarkStart w:id="0" w:name="ref-1"/>
      <w:r>
        <w:t xml:space="preserve">1. Article 1240 du Code civil — En vigueur depuis le 01/10/2016</w:t>
      </w:r>
      <w:bookmarkEnd w:id="0"/>
      <w:r>
        <w:t xml:space="preserve"> </w:t>
      </w:r>
      <w:r>
        <w:t xml:space="preserve">•</w:t>
      </w:r>
      <w:r>
        <w:t xml:space="preserve"> </w:t>
      </w:r>
      <w:hyperlink r:id="rId34">
        <w:r>
          <w:rPr>
            <w:rStyle w:val="Hyperlink"/>
          </w:rPr>
          <w:t xml:space="preserve">https://www.legifrance.gouv.fr/codes/article_lc/LEGIARTI000032041571</w:t>
        </w:r>
      </w:hyperlink>
    </w:p>
    <w:p>
      <w:pPr>
        <w:pStyle w:val="Bibliography"/>
      </w:pPr>
      <w:bookmarkStart w:id="1" w:name="ref-2"/>
      <w:r>
        <w:t xml:space="preserve">2. Article 1241 du Code civil — En vigueur depuis le 01/10/2016</w:t>
      </w:r>
      <w:bookmarkEnd w:id="1"/>
      <w:r>
        <w:t xml:space="preserve"> </w:t>
      </w:r>
      <w:r>
        <w:t xml:space="preserve">•</w:t>
      </w:r>
      <w:r>
        <w:t xml:space="preserve"> </w:t>
      </w:r>
      <w:hyperlink r:id="rId35">
        <w:r>
          <w:rPr>
            <w:rStyle w:val="Hyperlink"/>
          </w:rPr>
          <w:t xml:space="preserve">https://www.legifrance.gouv.fr/codes/article_lc/LEGIARTI000032041565</w:t>
        </w:r>
      </w:hyperlink>
    </w:p>
    <w:p>
      <w:pPr>
        <w:pStyle w:val="Bibliography"/>
      </w:pPr>
      <w:bookmarkStart w:id="2" w:name="ref-3"/>
      <w:r>
        <w:t xml:space="preserve">3. Article 145 du Code de procédure civile — En vigueur depuis le 01/09/2025</w:t>
      </w:r>
      <w:bookmarkEnd w:id="2"/>
      <w:r>
        <w:t xml:space="preserve"> </w:t>
      </w:r>
      <w:r>
        <w:t xml:space="preserve">•</w:t>
      </w:r>
      <w:r>
        <w:t xml:space="preserve"> </w:t>
      </w:r>
      <w:hyperlink r:id="rId36">
        <w:r>
          <w:rPr>
            <w:rStyle w:val="Hyperlink"/>
          </w:rPr>
          <w:t xml:space="preserve">https://www.legifrance.gouv.fr/codes/article_lc/LEGIARTI000051869339</w:t>
        </w:r>
      </w:hyperlink>
    </w:p>
    <w:p>
      <w:pPr>
        <w:pStyle w:val="Bibliography"/>
      </w:pPr>
      <w:bookmarkStart w:id="3" w:name="ref-4"/>
      <w:r>
        <w:t xml:space="preserve">4. Tribunal judiciaire de Nanterre, Référés, du 22/11/2024, 24/00507</w:t>
      </w:r>
      <w:bookmarkEnd w:id="3"/>
      <w:r>
        <w:t xml:space="preserve"> </w:t>
      </w:r>
      <w:r>
        <w:t xml:space="preserve">•</w:t>
      </w:r>
      <w:r>
        <w:t xml:space="preserve"> </w:t>
      </w:r>
      <w:hyperlink r:id="rId37">
        <w:r>
          <w:rPr>
            <w:rStyle w:val="Hyperlink"/>
          </w:rPr>
          <w:t xml:space="preserve">https://www.courdecassation.fr/decision/67463120bf0149c034443811</w:t>
        </w:r>
      </w:hyperlink>
    </w:p>
    <w:p>
      <w:pPr>
        <w:pStyle w:val="Bibliography"/>
      </w:pPr>
      <w:bookmarkStart w:id="4" w:name="ref-5"/>
      <w:r>
        <w:t xml:space="preserve">5. Cour d’appel de Douai, TROISIEME CHAMBRE, du 21/09/2023, 22/05613</w:t>
      </w:r>
      <w:bookmarkEnd w:id="4"/>
      <w:r>
        <w:t xml:space="preserve"> </w:t>
      </w:r>
      <w:r>
        <w:t xml:space="preserve">•</w:t>
      </w:r>
      <w:r>
        <w:t xml:space="preserve"> </w:t>
      </w:r>
      <w:hyperlink r:id="rId38">
        <w:r>
          <w:rPr>
            <w:rStyle w:val="Hyperlink"/>
          </w:rPr>
          <w:t xml:space="preserve">https://www.courdecassation.fr/decision/650d307371dfcd8318200e2b</w:t>
        </w:r>
      </w:hyperlink>
    </w:p>
    <w:p>
      <w:pPr>
        <w:pStyle w:val="Bibliography"/>
      </w:pPr>
      <w:bookmarkStart w:id="5" w:name="ref-6"/>
      <w:r>
        <w:t xml:space="preserve">6. Article L124-3 du Code des assurances — En vigueur depuis le 19/12/2007</w:t>
      </w:r>
      <w:bookmarkEnd w:id="5"/>
      <w:r>
        <w:t xml:space="preserve"> </w:t>
      </w:r>
      <w:r>
        <w:t xml:space="preserve">•</w:t>
      </w:r>
      <w:r>
        <w:t xml:space="preserve"> </w:t>
      </w:r>
      <w:hyperlink r:id="rId39">
        <w:r>
          <w:rPr>
            <w:rStyle w:val="Hyperlink"/>
          </w:rPr>
          <w:t xml:space="preserve">https://www.legifrance.gouv.fr/codes/article_lc/LEGIARTI000017735449</w:t>
        </w:r>
      </w:hyperlink>
    </w:p>
    <w:p>
      <w:pPr>
        <w:pStyle w:val="Bibliography"/>
      </w:pPr>
      <w:bookmarkStart w:id="6" w:name="ref-7"/>
      <w:r>
        <w:t xml:space="preserve">7. Article 2 du Loi n° 91-647 du 10 juillet 1991 relative à l’aide juridique — En vigueur depuis le 21/02/2007</w:t>
      </w:r>
      <w:bookmarkEnd w:id="6"/>
      <w:r>
        <w:t xml:space="preserve"> </w:t>
      </w:r>
      <w:r>
        <w:t xml:space="preserve">•</w:t>
      </w:r>
      <w:r>
        <w:t xml:space="preserve"> </w:t>
      </w:r>
      <w:hyperlink r:id="rId40">
        <w:r>
          <w:rPr>
            <w:rStyle w:val="Hyperlink"/>
          </w:rPr>
          <w:t xml:space="preserve">https://www.legifrance.gouv.fr/codes/article_lc/LEGIARTI000006491176</w:t>
        </w:r>
      </w:hyperlink>
    </w:p>
    <w:p>
      <w:pPr>
        <w:pStyle w:val="Bibliography"/>
      </w:pPr>
      <w:bookmarkStart w:id="7" w:name="ref-8"/>
      <w:r>
        <w:t xml:space="preserve">8. Article 20 du Loi n° 91-647 du 10 juillet 1991 relative à l’aide juridique — En vigueur depuis le 31/12/2020</w:t>
      </w:r>
      <w:bookmarkEnd w:id="7"/>
      <w:r>
        <w:t xml:space="preserve"> </w:t>
      </w:r>
      <w:r>
        <w:t xml:space="preserve">•</w:t>
      </w:r>
      <w:r>
        <w:t xml:space="preserve"> </w:t>
      </w:r>
      <w:hyperlink r:id="rId41">
        <w:r>
          <w:rPr>
            <w:rStyle w:val="Hyperlink"/>
          </w:rPr>
          <w:t xml:space="preserve">https://www.legifrance.gouv.fr/codes/article_lc/LEGIARTI000042915780</w:t>
        </w:r>
      </w:hyperlink>
    </w:p>
    <w:p>
      <w:pPr>
        <w:pStyle w:val="Bibliography"/>
      </w:pPr>
      <w:bookmarkStart w:id="8" w:name="ref-9"/>
      <w:r>
        <w:t xml:space="preserve">9. Article 7 du Loi n° 91-647 du 10 juillet 1991 relative à l’aide juridique — En vigueur depuis le 01/12/2020</w:t>
      </w:r>
      <w:bookmarkEnd w:id="8"/>
      <w:r>
        <w:t xml:space="preserve"> </w:t>
      </w:r>
      <w:r>
        <w:t xml:space="preserve">•</w:t>
      </w:r>
      <w:r>
        <w:t xml:space="preserve"> </w:t>
      </w:r>
      <w:hyperlink r:id="rId42">
        <w:r>
          <w:rPr>
            <w:rStyle w:val="Hyperlink"/>
          </w:rPr>
          <w:t xml:space="preserve">https://www.legifrance.gouv.fr/codes/article_lc/LEGIARTI000041473317</w:t>
        </w:r>
      </w:hyperlink>
    </w:p>
    <w:p>
      <w:pPr>
        <w:pStyle w:val="Bibliography"/>
      </w:pPr>
      <w:bookmarkStart w:id="9" w:name="ref-10"/>
      <w:r>
        <w:t xml:space="preserve">10. Article 760 du Code de procédure civile — En vigueur depuis le 01/01/2020</w:t>
      </w:r>
      <w:bookmarkEnd w:id="9"/>
      <w:r>
        <w:t xml:space="preserve"> </w:t>
      </w:r>
      <w:r>
        <w:t xml:space="preserve">•</w:t>
      </w:r>
      <w:r>
        <w:t xml:space="preserve"> </w:t>
      </w:r>
      <w:hyperlink r:id="rId43">
        <w:r>
          <w:rPr>
            <w:rStyle w:val="Hyperlink"/>
          </w:rPr>
          <w:t xml:space="preserve">https://www.legifrance.gouv.fr/codes/article_lc/LEGIARTI000039623478</w:t>
        </w:r>
      </w:hyperlink>
    </w:p>
    <w:p>
      <w:pPr>
        <w:pStyle w:val="Bibliography"/>
      </w:pPr>
      <w:bookmarkStart w:id="10" w:name="ref-11"/>
      <w:r>
        <w:t xml:space="preserve">11. Article 761 du Code de procédure civile — En vigueur depuis le 01/09/2025</w:t>
      </w:r>
      <w:bookmarkEnd w:id="10"/>
      <w:r>
        <w:t xml:space="preserve"> </w:t>
      </w:r>
      <w:r>
        <w:t xml:space="preserve">•</w:t>
      </w:r>
      <w:r>
        <w:t xml:space="preserve"> </w:t>
      </w:r>
      <w:hyperlink r:id="rId44">
        <w:r>
          <w:rPr>
            <w:rStyle w:val="Hyperlink"/>
          </w:rPr>
          <w:t xml:space="preserve">https://www.legifrance.gouv.fr/codes/article_lc/LEGIARTI000051869371</w:t>
        </w:r>
      </w:hyperlink>
    </w:p>
    <w:p>
      <w:pPr>
        <w:pStyle w:val="Bibliography"/>
      </w:pPr>
      <w:bookmarkStart w:id="11" w:name="ref-12"/>
      <w:r>
        <w:t xml:space="preserve">12. Cour d’appel de Caen, 1ère Chambre civile, du 09/01/2024, 21/00793</w:t>
      </w:r>
      <w:bookmarkEnd w:id="11"/>
      <w:r>
        <w:t xml:space="preserve"> </w:t>
      </w:r>
      <w:r>
        <w:t xml:space="preserve">•</w:t>
      </w:r>
      <w:r>
        <w:t xml:space="preserve"> </w:t>
      </w:r>
      <w:hyperlink r:id="rId45">
        <w:r>
          <w:rPr>
            <w:rStyle w:val="Hyperlink"/>
          </w:rPr>
          <w:t xml:space="preserve">https://www.courdecassation.fr/decision/659e451755379800088471a1</w:t>
        </w:r>
      </w:hyperlink>
    </w:p>
    <w:p>
      <w:pPr>
        <w:pStyle w:val="Bibliography"/>
      </w:pPr>
      <w:bookmarkStart w:id="12" w:name="ref-13"/>
      <w:r>
        <w:t xml:space="preserve">13. Article L252-5 du Code de la sécurité intérieure — En vigueur depuis le 01/05/2012</w:t>
      </w:r>
      <w:bookmarkEnd w:id="12"/>
      <w:r>
        <w:t xml:space="preserve"> </w:t>
      </w:r>
      <w:r>
        <w:t xml:space="preserve">•</w:t>
      </w:r>
      <w:r>
        <w:t xml:space="preserve"> </w:t>
      </w:r>
      <w:hyperlink r:id="rId46">
        <w:r>
          <w:rPr>
            <w:rStyle w:val="Hyperlink"/>
          </w:rPr>
          <w:t xml:space="preserve">https://www.legifrance.gouv.fr/codes/article_lc/LEGIARTI000025505435</w:t>
        </w:r>
      </w:hyperlink>
    </w:p>
    <w:p>
      <w:pPr>
        <w:pStyle w:val="Bibliography"/>
      </w:pPr>
      <w:bookmarkStart w:id="13" w:name="ref-14"/>
      <w:r>
        <w:t xml:space="preserve">14. Article 223-1 du Code pénal — En vigueur depuis le 19/05/2011</w:t>
      </w:r>
      <w:bookmarkEnd w:id="13"/>
      <w:r>
        <w:t xml:space="preserve"> </w:t>
      </w:r>
      <w:r>
        <w:t xml:space="preserve">•</w:t>
      </w:r>
      <w:r>
        <w:t xml:space="preserve"> </w:t>
      </w:r>
      <w:hyperlink r:id="rId47">
        <w:r>
          <w:rPr>
            <w:rStyle w:val="Hyperlink"/>
          </w:rPr>
          <w:t xml:space="preserve">https://www.legifrance.gouv.fr/codes/article_lc/LEGIARTI000024042637</w:t>
        </w:r>
      </w:hyperlink>
    </w:p>
    <w:p>
      <w:pPr>
        <w:pStyle w:val="Bibliography"/>
      </w:pPr>
      <w:bookmarkStart w:id="14" w:name="ref-15"/>
      <w:r>
        <w:t xml:space="preserve">15. Article L324-2 du Code des assurances — En vigueur depuis le 26/05/2023</w:t>
      </w:r>
      <w:bookmarkEnd w:id="14"/>
      <w:r>
        <w:t xml:space="preserve"> </w:t>
      </w:r>
      <w:r>
        <w:t xml:space="preserve">•</w:t>
      </w:r>
      <w:r>
        <w:t xml:space="preserve"> </w:t>
      </w:r>
      <w:hyperlink r:id="rId48">
        <w:r>
          <w:rPr>
            <w:rStyle w:val="Hyperlink"/>
          </w:rPr>
          <w:t xml:space="preserve">https://www.legifrance.gouv.fr/codes/article_lc/LEGIARTI000047591418</w:t>
        </w:r>
      </w:hyperlink>
    </w:p>
    <w:p>
      <w:pPr>
        <w:pStyle w:val="Bibliography"/>
      </w:pPr>
      <w:bookmarkStart w:id="15" w:name="ref-16"/>
      <w:r>
        <w:t xml:space="preserve">16. Tribunal judiciaire de Meaux, 1ère chambre - Référés, du 25/09/2024, 24/00551</w:t>
      </w:r>
      <w:bookmarkEnd w:id="15"/>
      <w:r>
        <w:t xml:space="preserve"> </w:t>
      </w:r>
      <w:r>
        <w:t xml:space="preserve">•</w:t>
      </w:r>
      <w:r>
        <w:t xml:space="preserve"> </w:t>
      </w:r>
      <w:hyperlink r:id="rId49">
        <w:r>
          <w:rPr>
            <w:rStyle w:val="Hyperlink"/>
          </w:rPr>
          <w:t xml:space="preserve">https://www.courdecassation.fr/decision/66fc4ae1134fd24f9cc77552</w:t>
        </w:r>
      </w:hyperlink>
    </w:p>
    <w:p>
      <w:pPr>
        <w:pStyle w:val="Bibliography"/>
      </w:pPr>
      <w:bookmarkStart w:id="16" w:name="ref-17"/>
      <w:r>
        <w:t xml:space="preserve">17. Article 762 du Code de procédure civile — En vigueur depuis le 01/01/2020</w:t>
      </w:r>
      <w:bookmarkEnd w:id="16"/>
      <w:r>
        <w:t xml:space="preserve"> </w:t>
      </w:r>
      <w:r>
        <w:t xml:space="preserve">•</w:t>
      </w:r>
      <w:r>
        <w:t xml:space="preserve"> </w:t>
      </w:r>
      <w:hyperlink r:id="rId50">
        <w:r>
          <w:rPr>
            <w:rStyle w:val="Hyperlink"/>
          </w:rPr>
          <w:t xml:space="preserve">https://www.legifrance.gouv.fr/codes/article_lc/LEGIARTI000039623464</w:t>
        </w:r>
      </w:hyperlink>
    </w:p>
    <w:p>
      <w:pPr>
        <w:pStyle w:val="Bibliography"/>
      </w:pPr>
      <w:bookmarkStart w:id="17" w:name="ref-18"/>
      <w:r>
        <w:t xml:space="preserve">18. Article 706-4 du Code de procédure pénale — En vigueur depuis le 01/01/2020</w:t>
      </w:r>
      <w:bookmarkEnd w:id="17"/>
      <w:r>
        <w:t xml:space="preserve"> </w:t>
      </w:r>
      <w:r>
        <w:t xml:space="preserve">•</w:t>
      </w:r>
      <w:r>
        <w:t xml:space="preserve"> </w:t>
      </w:r>
      <w:hyperlink r:id="rId51">
        <w:r>
          <w:rPr>
            <w:rStyle w:val="Hyperlink"/>
          </w:rPr>
          <w:t xml:space="preserve">https://www.legifrance.gouv.fr/codes/article_lc/LEGIARTI000039279299</w:t>
        </w:r>
      </w:hyperlink>
    </w:p>
    <w:p>
      <w:pPr>
        <w:pStyle w:val="Bibliography"/>
      </w:pPr>
      <w:bookmarkStart w:id="18" w:name="ref-19"/>
      <w:r>
        <w:t xml:space="preserve">19. Article 706-14 du Code de procédure pénale — En vigueur depuis le 22/11/2023</w:t>
      </w:r>
      <w:bookmarkEnd w:id="18"/>
      <w:r>
        <w:t xml:space="preserve"> </w:t>
      </w:r>
      <w:r>
        <w:t xml:space="preserve">•</w:t>
      </w:r>
      <w:r>
        <w:t xml:space="preserve"> </w:t>
      </w:r>
      <w:hyperlink r:id="rId52">
        <w:r>
          <w:rPr>
            <w:rStyle w:val="Hyperlink"/>
          </w:rPr>
          <w:t xml:space="preserve">https://www.legifrance.gouv.fr/codes/article_lc/LEGIARTI000048442323</w:t>
        </w:r>
      </w:hyperlink>
    </w:p>
    <w:bookmarkEnd w:id="53"/>
    <w:sectPr w:rsidR="00087C26" w:rsidRPr="00947B81">
      <w:foot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Garamond" w:hAnsi="Garamond" w:cs="Garamond"/>
        <w:color w:val="999999"/>
        <w:sz w:val="18"/>
        <w:szCs w:val="18"/>
      </w:rPr>
      <w:fldChar w:fldCharType="begin"/>
    </w:r>
    <w:r>
      <w:rPr>
        <w:rFonts w:ascii="Garamond" w:hAnsi="Garamond" w:cs="Garamond"/>
        <w:color w:val="999999"/>
        <w:sz w:val="18"/>
        <w:szCs w:val="18"/>
      </w:rPr>
      <w:instrText xml:space="preserve"> PAGE </w:instrText>
    </w:r>
    <w:r>
      <w:rPr>
        <w:rFonts w:ascii="Garamond" w:hAnsi="Garamond" w:cs="Garamond"/>
        <w:color w:val="999999"/>
        <w:sz w:val="18"/>
        <w:szCs w:val="18"/>
      </w:rPr>
      <w:fldChar w:fldCharType="separate"/>
    </w:r>
    <w:r>
      <w:rPr>
        <w:rFonts w:ascii="Garamond" w:hAnsi="Garamond" w:cs="Garamond"/>
        <w:color w:val="999999"/>
        <w:sz w:val="18"/>
        <w:szCs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E77C2FC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986127726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C26"/>
    <w:rsid w:val="00087C26"/>
    <w:rsid w:val="00145F17"/>
    <w:rsid w:val="002A67A0"/>
    <w:rsid w:val="00566A7B"/>
    <w:rsid w:val="008B3B77"/>
    <w:rsid w:val="00947B81"/>
    <w:rsid w:val="00C768DD"/>
    <w:rsid w:val="00CC3F4B"/>
    <w:rsid w:val="00F6791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Theme="minorHAnsi" w:hAnsi="Times New Roman"/>
        <w:sz w:val="22"/>
        <w:szCs w:val="22"/>
      </w:rPr>
    </w:rPrDefault>
    <w:pPrDefault>
      <w:pPr>
        <w:spacing w:after="120" w:line="276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A67A0"/>
    <w:rPr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80"/>
      <w:outlineLvl w:val="0"/>
      <w:pBdr>
        <w:bottom w:color="1B3A5C" w:space="4" w:sz="8" w:val="single"/>
      </w:pBdr>
    </w:pPr>
    <w:rPr>
      <w:rFonts w:ascii="Times New Roman" w:cs="Times New Roman" w:hAnsi="Times New Roman"/>
      <w:b/>
      <w:color w:val="1B3A5C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Times New Roman" w:cs="Times New Roman" w:hAnsi="Times New Roman"/>
      <w:b/>
      <w:color w:val="2C5F8A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Times New Roman" w:cs="Times New Roman" w:hAnsi="Times New Roman"/>
      <w:b/>
      <w:i/>
      <w:color w:val="333333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20" w:before="12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60"/>
      <w:jc w:val="both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40" w:before="40"/>
      <w:ind w:hanging="480" w:left="480"/>
    </w:pPr>
    <w:rPr>
      <w:sz w:val="18"/>
      <w:szCs w:val="18"/>
      <w:color w:val="44444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hAnsi="Times New Roman"/>
      <w:b/>
      <w:color w:val="1B3A5C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hAnsi="Times New Roman"/>
      <w:b/>
      <w:color w:val="2C5F8A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hAnsi="Times New Roman"/>
      <w:b/>
      <w:i/>
      <w:color w:val="333333"/>
      <w:sz w:val="23"/>
      <w:szCs w:val="23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60"/>
      <w:ind w:left="480" w:right="480"/>
      <w:pBdr>
        <w:left w:color="B0C4D8" w:space="8" w:sz="16" w:val="single"/>
      </w:pBdr>
      <w:shd w:color="auto" w:fill="F5F5F5" w:val="clear"/>
    </w:pPr>
    <w:rPr>
      <w:rFonts w:ascii="Times New Roman" w:cs="Times New Roman" w:hAnsi="Times New Roman"/>
      <w:color w:val="555555"/>
      <w:sz w:val="19"/>
      <w:szCs w:val="19"/>
    </w:r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Borders>
        <w:top w:color="C0C0C0" w:space="0" w:sz="4" w:val="single"/>
        <w:left w:color="auto" w:space="0" w:sz="0" w:val="none"/>
        <w:bottom w:color="C0C0C0" w:space="0" w:sz="4" w:val="single"/>
        <w:right w:color="auto" w:space="0" w:sz="0" w:val="none"/>
        <w:insideH w:color="D9D9D9" w:space="0" w:sz="4" w:val="single"/>
        <w:insideV w:color="auto" w:space="0" w:sz="0" w:val="none"/>
      </w:tblBorders>
      <w:tblCellMar>
        <w:top w:type="dxa" w:w="60"/>
        <w:left w:type="dxa" w:w="120"/>
        <w:bottom w:type="dxa" w:w="60"/>
        <w:right w:type="dxa" w:w="120"/>
      </w:tblCellMar>
    </w:tblPr>
    <w:tblStylePr w:type="firstRow">
      <w:rPr>
        <w:b/>
        <w:color w:val="FFFFFF"/>
        <w:sz w:val="20"/>
      </w:rPr>
      <w:tblPr/>
      <w:tcPr>
        <w:shd w:color="auto" w:fill="1B3A5C" w:val="clear"/>
        <w:tcBorders>
          <w:bottom w:color="1B3A5C" w:space="0" w:sz="8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>
      <w:u/>
    </w:rPr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i/>
    </w:rPr>
  </w:style>
  <w:style w:type="character" w:customStyle="1" w:styleId="CommentVarTok">
    <w:name w:val="CommentVarTok"/>
    <w:basedOn w:val="VerbatimChar"/>
    <w:rPr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b/>
    </w:rPr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</w:rPr>
  </w:style>
  <w:style w:type="character" w:customStyle="1" w:styleId="WarningTok">
    <w:name w:val="WarningTok"/>
    <w:basedOn w:val="VerbatimChar"/>
    <w:rPr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38" Target="https://www.courdecassation.fr/decision/650d307371dfcd8318200e2b" TargetMode="External" /><Relationship Type="http://schemas.openxmlformats.org/officeDocument/2006/relationships/hyperlink" Id="rId45" Target="https://www.courdecassation.fr/decision/659e451755379800088471a1" TargetMode="External" /><Relationship Type="http://schemas.openxmlformats.org/officeDocument/2006/relationships/hyperlink" Id="rId49" Target="https://www.courdecassation.fr/decision/66fc4ae1134fd24f9cc77552" TargetMode="External" /><Relationship Type="http://schemas.openxmlformats.org/officeDocument/2006/relationships/hyperlink" Id="rId37" Target="https://www.courdecassation.fr/decision/67463120bf0149c034443811" TargetMode="External" /><Relationship Type="http://schemas.openxmlformats.org/officeDocument/2006/relationships/hyperlink" Id="rId40" Target="https://www.legifrance.gouv.fr/codes/article_lc/LEGIARTI000006491176" TargetMode="External" /><Relationship Type="http://schemas.openxmlformats.org/officeDocument/2006/relationships/hyperlink" Id="rId39" Target="https://www.legifrance.gouv.fr/codes/article_lc/LEGIARTI000017735449" TargetMode="External" /><Relationship Type="http://schemas.openxmlformats.org/officeDocument/2006/relationships/hyperlink" Id="rId47" Target="https://www.legifrance.gouv.fr/codes/article_lc/LEGIARTI000024042637" TargetMode="External" /><Relationship Type="http://schemas.openxmlformats.org/officeDocument/2006/relationships/hyperlink" Id="rId46" Target="https://www.legifrance.gouv.fr/codes/article_lc/LEGIARTI000025505435" TargetMode="External" /><Relationship Type="http://schemas.openxmlformats.org/officeDocument/2006/relationships/hyperlink" Id="rId35" Target="https://www.legifrance.gouv.fr/codes/article_lc/LEGIARTI000032041565" TargetMode="External" /><Relationship Type="http://schemas.openxmlformats.org/officeDocument/2006/relationships/hyperlink" Id="rId34" Target="https://www.legifrance.gouv.fr/codes/article_lc/LEGIARTI000032041571" TargetMode="External" /><Relationship Type="http://schemas.openxmlformats.org/officeDocument/2006/relationships/hyperlink" Id="rId51" Target="https://www.legifrance.gouv.fr/codes/article_lc/LEGIARTI000039279299" TargetMode="External" /><Relationship Type="http://schemas.openxmlformats.org/officeDocument/2006/relationships/hyperlink" Id="rId50" Target="https://www.legifrance.gouv.fr/codes/article_lc/LEGIARTI000039623464" TargetMode="External" /><Relationship Type="http://schemas.openxmlformats.org/officeDocument/2006/relationships/hyperlink" Id="rId43" Target="https://www.legifrance.gouv.fr/codes/article_lc/LEGIARTI000039623478" TargetMode="External" /><Relationship Type="http://schemas.openxmlformats.org/officeDocument/2006/relationships/hyperlink" Id="rId42" Target="https://www.legifrance.gouv.fr/codes/article_lc/LEGIARTI000041473317" TargetMode="External" /><Relationship Type="http://schemas.openxmlformats.org/officeDocument/2006/relationships/hyperlink" Id="rId41" Target="https://www.legifrance.gouv.fr/codes/article_lc/LEGIARTI000042915780" TargetMode="External" /><Relationship Type="http://schemas.openxmlformats.org/officeDocument/2006/relationships/hyperlink" Id="rId48" Target="https://www.legifrance.gouv.fr/codes/article_lc/LEGIARTI000047591418" TargetMode="External" /><Relationship Type="http://schemas.openxmlformats.org/officeDocument/2006/relationships/hyperlink" Id="rId52" Target="https://www.legifrance.gouv.fr/codes/article_lc/LEGIARTI000048442323" TargetMode="External" /><Relationship Type="http://schemas.openxmlformats.org/officeDocument/2006/relationships/hyperlink" Id="rId36" Target="https://www.legifrance.gouv.fr/codes/article_lc/LEGIARTI000051869339" TargetMode="External" /><Relationship Type="http://schemas.openxmlformats.org/officeDocument/2006/relationships/hyperlink" Id="rId44" Target="https://www.legifrance.gouv.fr/codes/article_lc/LEGIARTI0000518693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www.courdecassation.fr/decision/650d307371dfcd8318200e2b" TargetMode="External" /><Relationship Type="http://schemas.openxmlformats.org/officeDocument/2006/relationships/hyperlink" Id="rId45" Target="https://www.courdecassation.fr/decision/659e451755379800088471a1" TargetMode="External" /><Relationship Type="http://schemas.openxmlformats.org/officeDocument/2006/relationships/hyperlink" Id="rId49" Target="https://www.courdecassation.fr/decision/66fc4ae1134fd24f9cc77552" TargetMode="External" /><Relationship Type="http://schemas.openxmlformats.org/officeDocument/2006/relationships/hyperlink" Id="rId37" Target="https://www.courdecassation.fr/decision/67463120bf0149c034443811" TargetMode="External" /><Relationship Type="http://schemas.openxmlformats.org/officeDocument/2006/relationships/hyperlink" Id="rId40" Target="https://www.legifrance.gouv.fr/codes/article_lc/LEGIARTI000006491176" TargetMode="External" /><Relationship Type="http://schemas.openxmlformats.org/officeDocument/2006/relationships/hyperlink" Id="rId39" Target="https://www.legifrance.gouv.fr/codes/article_lc/LEGIARTI000017735449" TargetMode="External" /><Relationship Type="http://schemas.openxmlformats.org/officeDocument/2006/relationships/hyperlink" Id="rId47" Target="https://www.legifrance.gouv.fr/codes/article_lc/LEGIARTI000024042637" TargetMode="External" /><Relationship Type="http://schemas.openxmlformats.org/officeDocument/2006/relationships/hyperlink" Id="rId46" Target="https://www.legifrance.gouv.fr/codes/article_lc/LEGIARTI000025505435" TargetMode="External" /><Relationship Type="http://schemas.openxmlformats.org/officeDocument/2006/relationships/hyperlink" Id="rId35" Target="https://www.legifrance.gouv.fr/codes/article_lc/LEGIARTI000032041565" TargetMode="External" /><Relationship Type="http://schemas.openxmlformats.org/officeDocument/2006/relationships/hyperlink" Id="rId34" Target="https://www.legifrance.gouv.fr/codes/article_lc/LEGIARTI000032041571" TargetMode="External" /><Relationship Type="http://schemas.openxmlformats.org/officeDocument/2006/relationships/hyperlink" Id="rId51" Target="https://www.legifrance.gouv.fr/codes/article_lc/LEGIARTI000039279299" TargetMode="External" /><Relationship Type="http://schemas.openxmlformats.org/officeDocument/2006/relationships/hyperlink" Id="rId50" Target="https://www.legifrance.gouv.fr/codes/article_lc/LEGIARTI000039623464" TargetMode="External" /><Relationship Type="http://schemas.openxmlformats.org/officeDocument/2006/relationships/hyperlink" Id="rId43" Target="https://www.legifrance.gouv.fr/codes/article_lc/LEGIARTI000039623478" TargetMode="External" /><Relationship Type="http://schemas.openxmlformats.org/officeDocument/2006/relationships/hyperlink" Id="rId42" Target="https://www.legifrance.gouv.fr/codes/article_lc/LEGIARTI000041473317" TargetMode="External" /><Relationship Type="http://schemas.openxmlformats.org/officeDocument/2006/relationships/hyperlink" Id="rId41" Target="https://www.legifrance.gouv.fr/codes/article_lc/LEGIARTI000042915780" TargetMode="External" /><Relationship Type="http://schemas.openxmlformats.org/officeDocument/2006/relationships/hyperlink" Id="rId48" Target="https://www.legifrance.gouv.fr/codes/article_lc/LEGIARTI000047591418" TargetMode="External" /><Relationship Type="http://schemas.openxmlformats.org/officeDocument/2006/relationships/hyperlink" Id="rId52" Target="https://www.legifrance.gouv.fr/codes/article_lc/LEGIARTI000048442323" TargetMode="External" /><Relationship Type="http://schemas.openxmlformats.org/officeDocument/2006/relationships/hyperlink" Id="rId36" Target="https://www.legifrance.gouv.fr/codes/article_lc/LEGIARTI000051869339" TargetMode="External" /><Relationship Type="http://schemas.openxmlformats.org/officeDocument/2006/relationships/hyperlink" Id="rId44" Target="https://www.legifrance.gouv.fr/codes/article_lc/LEGIARTI0000518693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B3A5C"/>
      </a:accent1>
      <a:accent2>
        <a:srgbClr val="2C5F8A"/>
      </a:accent2>
      <a:accent3>
        <a:srgbClr val="B0C4D8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aramond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