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480" w:lineRule="auto"/>
        <w:jc w:val="center"/>
      </w:pPr>
      <w:r>
        <w:rPr>
          <w:rFonts w:ascii="Times New Roman" w:cs="Times New Roman" w:eastAsia="Times New Roman" w:hAnsi="Times New Roman"/>
          <w:b/>
          <w:bCs/>
          <w:sz w:val="24"/>
          <w:szCs w:val="24"/>
        </w:rPr>
        <w:t xml:space="preserve">Corner Grocer Item-Tracking Program</w:t>
      </w:r>
    </w:p>
    <w:p>
      <w:pPr>
        <w:spacing w:after="0" w:line="480" w:lineRule="auto"/>
        <w:jc w:val="center"/>
      </w:pPr>
      <w:r>
        <w:rPr>
          <w:rFonts w:ascii="Times New Roman" w:cs="Times New Roman" w:eastAsia="Times New Roman" w:hAnsi="Times New Roman"/>
          <w:b/>
          <w:bCs/>
          <w:sz w:val="24"/>
          <w:szCs w:val="24"/>
        </w:rPr>
        <w:t xml:space="preserve">Design and Functionality Documentation – CS 210 Project Three</w:t>
      </w:r>
    </w:p>
    <w:p>
      <w:pPr>
        <w:spacing w:line="480" w:lineRule="auto"/>
        <w:jc w:val="center"/>
      </w:pPr>
      <w:r>
        <w:rPr>
          <w:rFonts w:ascii="Times New Roman" w:cs="Times New Roman" w:eastAsia="Times New Roman" w:hAnsi="Times New Roman"/>
          <w:i/>
          <w:iCs/>
          <w:sz w:val="24"/>
          <w:szCs w:val="24"/>
        </w:rPr>
        <w:t xml:space="preserve">Draven Chen — Prepared for Chada Tech</w:t>
      </w:r>
    </w:p>
    <w:p>
      <w:pPr>
        <w:spacing w:line="480" w:lineRule="auto"/>
        <w:jc w:val="both"/>
      </w:pPr>
      <w:r>
        <w:rPr>
          <w:rFonts w:ascii="Times New Roman" w:cs="Times New Roman" w:eastAsia="Times New Roman" w:hAnsi="Times New Roman"/>
          <w:sz w:val="24"/>
          <w:szCs w:val="24"/>
        </w:rPr>
        <w:t xml:space="preserve">The Corner Grocer item-tracking program reads the store’s daily purchase records and reports how often each item was purchased, so the produce section can be laid out around real customer demand. The design centers on a single ItemTracker class that separates data (kept private) from behavior (exposed through a small public interface), which keeps the frequency data protected from accidental changes elsewhere in the program.</w:t>
      </w:r>
    </w:p>
    <w:p>
      <w:pPr>
        <w:spacing w:line="480" w:lineRule="auto"/>
        <w:jc w:val="both"/>
      </w:pPr>
      <w:r>
        <w:rPr>
          <w:rFonts w:ascii="Times New Roman" w:cs="Times New Roman" w:eastAsia="Times New Roman" w:hAnsi="Times New Roman"/>
          <w:sz w:val="24"/>
          <w:szCs w:val="24"/>
        </w:rPr>
        <w:t xml:space="preserve">Internally, ItemTracker loads the input file once, at startup, into a std::map&lt;string, int&gt;, using each item as the key and its running count as the value. A map was chosen over other structures because it automatically keeps items in alphabetical order and handles duplicate items cleanly through operator[]. Before storing an item, the class normalizes it (trimming whitespace and standardizing capitalization) so variations like “onions” and “Onions” are always counted as one item.</w:t>
      </w:r>
    </w:p>
    <w:p>
      <w:pPr>
        <w:spacing w:line="480" w:lineRule="auto"/>
        <w:jc w:val="both"/>
      </w:pPr>
      <w:r>
        <w:rPr>
          <w:rFonts w:ascii="Times New Roman" w:cs="Times New Roman" w:eastAsia="Times New Roman" w:hAnsi="Times New Roman"/>
          <w:sz w:val="24"/>
          <w:szCs w:val="24"/>
        </w:rPr>
        <w:t xml:space="preserve">main.cpp presents a four-option, input-validated menu built around that class: Option 1 looks up a single item’s frequency; Option 2 lists every item with its count; Option 3 renders the same counts as a text-based histogram; and Option 4 exits. Before the menu ever appears, the program automatically writes a full backup of the frequency data to frequency.dat, satisfying the store’s backup requirement without any user action.</w:t>
      </w:r>
    </w:p>
    <w:p>
      <w:pPr>
        <w:spacing w:after="60" w:before="120"/>
      </w:pPr>
      <w:r>
        <w:rPr>
          <w:rFonts w:ascii="Times New Roman" w:cs="Times New Roman" w:eastAsia="Times New Roman" w:hAnsi="Times New Roman"/>
          <w:i/>
          <w:iCs/>
          <w:sz w:val="24"/>
          <w:szCs w:val="24"/>
        </w:rPr>
        <w:t xml:space="preserve">Sample output from Options 1–3:</w:t>
      </w:r>
    </w:p>
    <w:p>
      <w:pPr>
        <w:jc w:val="center"/>
      </w:pPr>
      <w:r>
        <w:drawing>
          <wp:inline distT="0" distB="0" distL="0" distR="0">
            <wp:extent cx="45720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809625"/>
                    </a:xfrm>
                    <a:prstGeom prst="rect">
                      <a:avLst/>
                    </a:prstGeom>
                  </pic:spPr>
                </pic:pic>
              </a:graphicData>
            </a:graphic>
          </wp:inline>
        </w:drawing>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5d8e6c21a3daddfab4f02dcf91fdd31786ed51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2026-07-26T19:05:52.532Z</dcterms:created>
  <dcterms:modified xsi:type="dcterms:W3CDTF">2026-07-26T19:05:52.533Z</dcterms:modified>
</cp:coreProperties>
</file>

<file path=docProps/custom.xml><?xml version="1.0" encoding="utf-8"?>
<Properties xmlns="http://schemas.openxmlformats.org/officeDocument/2006/custom-properties" xmlns:vt="http://schemas.openxmlformats.org/officeDocument/2006/docPropsVTypes"/>
</file>