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Module Two Coding Assignment: Dependency Check</w:t>
      </w:r>
    </w:p>
    <w:p>
      <w:pPr>
        <w:pBdr>
          <w:bottom w:val="single" w:color="1F3864" w:sz="12" w:space="8"/>
        </w:pBdr>
        <w:spacing w:after="240"/>
      </w:pPr>
      <w:r>
        <w:rPr>
          <w:rFonts w:ascii="Calibri" w:cs="Calibri" w:eastAsia="Calibri" w:hAnsi="Calibri"/>
          <w:color w:val="595959"/>
          <w:sz w:val="20"/>
          <w:szCs w:val="20"/>
        </w:rPr>
        <w:t xml:space="preserve">Draven Chen  |  CS 305: Software Security  |  Southern New Hampshire University</w:t>
      </w:r>
    </w:p>
    <w:p>
      <w:pPr>
        <w:spacing w:after="120" w:before="260"/>
      </w:pPr>
      <w:r>
        <w:rPr>
          <w:rFonts w:ascii="Calibri" w:cs="Calibri" w:eastAsia="Calibri" w:hAnsi="Calibri"/>
          <w:b/>
          <w:bCs/>
          <w:color w:val="1F3864"/>
          <w:sz w:val="26"/>
          <w:szCs w:val="26"/>
        </w:rPr>
        <w:t xml:space="preserve">1. Dependency-Check Report</w:t>
      </w:r>
    </w:p>
    <w:p>
      <w:pPr>
        <w:spacing w:after="120" w:line="276"/>
      </w:pPr>
      <w:r>
        <w:rPr>
          <w:rFonts w:ascii="Calibri" w:cs="Calibri" w:eastAsia="Calibri" w:hAnsi="Calibri"/>
          <w:sz w:val="22"/>
          <w:szCs w:val="22"/>
        </w:rPr>
        <w:t>I integrated the OWASP dependency-check Maven plug-in (version 12.0.2) into the Module 2-2 Spring Boot project and ran its check goal against the project's fully resolved dependency graph. The plug-in performs static composition analysis: it gathers evidence from each JAR's file name, manifest, and POM metadata, infers a matching Common Platform Enumeration (CPE) identifier, and cross-references that identifier against the National Vulnerability Database. No application code is executed. Two environmental notes are worth recording, because both will stop the scan on a fresh machine: the Sonatype OSS Index analyzer now returns HTTP 401 Unauthorized without credentials and fails the build outright, so it must be disabled with -DossindexAnalyzerEnabled=false; and the initial NVD data synchronization downloads roughly 600 MB, which is heavily rate-limited unless a free NVD API key is supplied. The HTML report below was written to target/dependency-check-report.html.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6"/>
              <w:left w:val="dashed" w:color="A6A6A6" w:sz="6"/>
              <w:bottom w:val="dashed" w:color="A6A6A6" w:sz="6"/>
              <w:right w:val="dashed" w:color="A6A6A6" w:sz="6"/>
            </w:tcBorders>
            <w:shd w:fill="F7F7F7" w:color="auto" w:val="clear"/>
            <w:tcMar>
              <w:top w:type="dxa" w:w="500"/>
              <w:left w:type="dxa" w:w="200"/>
              <w:bottom w:type="dxa" w:w="500"/>
              <w:right w:type="dxa" w:w="200"/>
            </w:tcMar>
          </w:tcPr>
          <w:p>
            <w:pPr>
              <w:spacing w:after="60" w:line="276"/>
              <w:jc w:val="center"/>
            </w:pPr>
            <w:r>
              <w:rPr>
                <w:rFonts w:ascii="Calibri" w:cs="Calibri" w:eastAsia="Calibri" w:hAnsi="Calibri"/>
                <w:b/>
                <w:bCs/>
                <w:color w:val="595959"/>
                <w:sz w:val="22"/>
                <w:szCs w:val="22"/>
              </w:rPr>
              <w:t xml:space="preserve">[ PASTE SCREENSHOT HERE ]</w:t>
            </w:r>
          </w:p>
          <w:p>
            <w:pPr>
              <w:spacing w:after="0" w:line="276"/>
              <w:jc w:val="center"/>
            </w:pPr>
            <w:r>
              <w:rPr>
                <w:rFonts w:ascii="Calibri" w:cs="Calibri" w:eastAsia="Calibri" w:hAnsi="Calibri"/>
                <w:i/>
                <w:iCs/>
                <w:color w:val="595959"/>
                <w:sz w:val="18"/>
                <w:szCs w:val="18"/>
              </w:rPr>
              <w:t xml:space="preserve">target/dependency-check-report.html — capture the Scan Information block (dependency-check version, report generated date, dependencies scanned, vulnerable dependencies, vulnerabilities found, vulnerabilities suppressed) together with the vulnerable-dependency table beneath it.</w:t>
            </w:r>
          </w:p>
        </w:tc>
      </w:tr>
    </w:tbl>
    <w:p>
      <w:pPr>
        <w:spacing w:after="100" w:line="276"/>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Scan information field</w:t>
            </w:r>
          </w:p>
        </w:tc>
        <w:tc>
          <w:tcPr>
            <w:tcW w:type="dxa" w:w="576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Value from my report</w:t>
            </w:r>
          </w:p>
        </w:tc>
      </w:tr>
      <w:tr>
        <w:tc>
          <w:tcPr>
            <w:tcW w:type="dxa" w:w="3600"/>
            <w:tcMar>
              <w:top w:type="dxa" w:w="70"/>
              <w:left w:type="dxa" w:w="100"/>
              <w:bottom w:type="dxa" w:w="70"/>
              <w:right w:type="dxa" w:w="100"/>
            </w:tcMar>
          </w:tcPr>
          <w:p>
            <w:pPr>
              <w:spacing w:after="0" w:line="240"/>
            </w:pPr>
            <w:r>
              <w:rPr>
                <w:rFonts w:ascii="Calibri" w:cs="Calibri" w:eastAsia="Calibri" w:hAnsi="Calibri"/>
                <w:b/>
                <w:bCs/>
                <w:sz w:val="18"/>
                <w:szCs w:val="18"/>
              </w:rPr>
              <w:t>dependency-check version</w:t>
            </w:r>
          </w:p>
        </w:tc>
        <w:tc>
          <w:tcPr>
            <w:tcW w:type="dxa" w:w="5760"/>
            <w:tcMar>
              <w:top w:type="dxa" w:w="70"/>
              <w:left w:type="dxa" w:w="100"/>
              <w:bottom w:type="dxa" w:w="70"/>
              <w:right w:type="dxa" w:w="100"/>
            </w:tcMar>
          </w:tcPr>
          <w:p>
            <w:pPr>
              <w:spacing w:after="0" w:line="240"/>
            </w:pPr>
            <w:r>
              <w:rPr>
                <w:rFonts w:ascii="Calibri" w:cs="Calibri" w:eastAsia="Calibri" w:hAnsi="Calibri"/>
                <w:sz w:val="18"/>
                <w:szCs w:val="18"/>
              </w:rPr>
              <w:t>12.0.2</w:t>
            </w:r>
          </w:p>
        </w:tc>
      </w:tr>
      <w:tr>
        <w:tc>
          <w:tcPr>
            <w:tcW w:type="dxa" w:w="36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Report generated on</w:t>
            </w:r>
          </w:p>
        </w:tc>
        <w:tc>
          <w:tcPr>
            <w:tcW w:type="dxa" w:w="576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Tue, 1 Sep 2026 23:20:32 +0700</w:t>
            </w:r>
          </w:p>
        </w:tc>
      </w:tr>
      <w:tr>
        <w:tc>
          <w:tcPr>
            <w:tcW w:type="dxa" w:w="3600"/>
            <w:tcMar>
              <w:top w:type="dxa" w:w="70"/>
              <w:left w:type="dxa" w:w="100"/>
              <w:bottom w:type="dxa" w:w="70"/>
              <w:right w:type="dxa" w:w="100"/>
            </w:tcMar>
          </w:tcPr>
          <w:p>
            <w:pPr>
              <w:spacing w:after="0" w:line="240"/>
            </w:pPr>
            <w:r>
              <w:rPr>
                <w:rFonts w:ascii="Calibri" w:cs="Calibri" w:eastAsia="Calibri" w:hAnsi="Calibri"/>
                <w:b/>
                <w:bCs/>
                <w:sz w:val="18"/>
                <w:szCs w:val="18"/>
              </w:rPr>
              <w:t>Dependencies scanned</w:t>
            </w:r>
          </w:p>
        </w:tc>
        <w:tc>
          <w:tcPr>
            <w:tcW w:type="dxa" w:w="5760"/>
            <w:tcMar>
              <w:top w:type="dxa" w:w="70"/>
              <w:left w:type="dxa" w:w="100"/>
              <w:bottom w:type="dxa" w:w="70"/>
              <w:right w:type="dxa" w:w="100"/>
            </w:tcMar>
          </w:tcPr>
          <w:p>
            <w:pPr>
              <w:spacing w:after="0" w:line="240"/>
            </w:pPr>
            <w:r>
              <w:rPr>
                <w:rFonts w:ascii="Calibri" w:cs="Calibri" w:eastAsia="Calibri" w:hAnsi="Calibri"/>
                <w:sz w:val="18"/>
                <w:szCs w:val="18"/>
              </w:rPr>
              <w:t>38 (22 unique)</w:t>
            </w:r>
          </w:p>
        </w:tc>
      </w:tr>
      <w:tr>
        <w:tc>
          <w:tcPr>
            <w:tcW w:type="dxa" w:w="36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Vulnerable dependencies</w:t>
            </w:r>
          </w:p>
        </w:tc>
        <w:tc>
          <w:tcPr>
            <w:tcW w:type="dxa" w:w="576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12</w:t>
            </w:r>
          </w:p>
        </w:tc>
      </w:tr>
      <w:tr>
        <w:tc>
          <w:tcPr>
            <w:tcW w:type="dxa" w:w="3600"/>
            <w:tcMar>
              <w:top w:type="dxa" w:w="70"/>
              <w:left w:type="dxa" w:w="100"/>
              <w:bottom w:type="dxa" w:w="70"/>
              <w:right w:type="dxa" w:w="100"/>
            </w:tcMar>
          </w:tcPr>
          <w:p>
            <w:pPr>
              <w:spacing w:after="0" w:line="240"/>
            </w:pPr>
            <w:r>
              <w:rPr>
                <w:rFonts w:ascii="Calibri" w:cs="Calibri" w:eastAsia="Calibri" w:hAnsi="Calibri"/>
                <w:b/>
                <w:bCs/>
                <w:sz w:val="18"/>
                <w:szCs w:val="18"/>
              </w:rPr>
              <w:t>Vulnerabilities found</w:t>
            </w:r>
          </w:p>
        </w:tc>
        <w:tc>
          <w:tcPr>
            <w:tcW w:type="dxa" w:w="5760"/>
            <w:tcMar>
              <w:top w:type="dxa" w:w="70"/>
              <w:left w:type="dxa" w:w="100"/>
              <w:bottom w:type="dxa" w:w="70"/>
              <w:right w:type="dxa" w:w="100"/>
            </w:tcMar>
          </w:tcPr>
          <w:p>
            <w:pPr>
              <w:spacing w:after="0" w:line="240"/>
            </w:pPr>
            <w:r>
              <w:rPr>
                <w:rFonts w:ascii="Calibri" w:cs="Calibri" w:eastAsia="Calibri" w:hAnsi="Calibri"/>
                <w:sz w:val="18"/>
                <w:szCs w:val="18"/>
              </w:rPr>
              <w:t>125 (67 unique CVEs)</w:t>
            </w:r>
          </w:p>
        </w:tc>
      </w:tr>
      <w:tr>
        <w:tc>
          <w:tcPr>
            <w:tcW w:type="dxa" w:w="36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Vulnerabilities suppressed</w:t>
            </w:r>
          </w:p>
        </w:tc>
        <w:tc>
          <w:tcPr>
            <w:tcW w:type="dxa" w:w="576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0</w:t>
            </w:r>
          </w:p>
        </w:tc>
      </w:tr>
    </w:tbl>
    <w:p>
      <w:pPr>
        <w:spacing w:after="120" w:before="260"/>
      </w:pPr>
      <w:r>
        <w:rPr>
          <w:rFonts w:ascii="Calibri" w:cs="Calibri" w:eastAsia="Calibri" w:hAnsi="Calibri"/>
          <w:b/>
          <w:bCs/>
          <w:color w:val="1F3864"/>
          <w:sz w:val="26"/>
          <w:szCs w:val="26"/>
        </w:rPr>
        <w:t xml:space="preserve">2. Documented Results</w:t>
      </w:r>
    </w:p>
    <w:p>
      <w:pPr>
        <w:spacing w:after="120" w:line="276"/>
      </w:pPr>
      <w:r>
        <w:rPr>
          <w:rFonts w:ascii="Calibri" w:cs="Calibri" w:eastAsia="Calibri" w:hAnsi="Calibri"/>
          <w:sz w:val="22"/>
          <w:szCs w:val="22"/>
        </w:rPr>
        <w:t>The project declares only three direct dependencies, spring-boot-starter-web, spring-boot-starter-test, and mongo-java-driver 2.4, but the Spring Boot 2.2.4.RELEASE parent resolves them into 38 JARs (22 unique), and that transitive tail is where essentially all of the risk lives. Twelve of the 22 unique dependencies carry at least one known vulnerability, for 125 total findings covering 67 distinct CVEs. The table below records every flagged dependency with its matched CPE, its most significant CVE codes, a description of the defect, and the CVSS v3.1 base score. Because several artifacts share a CPE, the same CVE is counted once per JAR it matches, which is why 125 findings collapse to 67 unique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60"/>
        <w:gridCol w:w="1500"/>
        <w:gridCol w:w="2900"/>
        <w:gridCol w:w="900"/>
      </w:tblGrid>
      <w:tr>
        <w:trPr>
          <w:tblHeader/>
        </w:trPr>
        <w:tc>
          <w:tcPr>
            <w:tcW w:type="dxa" w:w="200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Dependency</w:t>
            </w:r>
          </w:p>
        </w:tc>
        <w:tc>
          <w:tcPr>
            <w:tcW w:type="dxa" w:w="206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CPE identifier</w:t>
            </w:r>
          </w:p>
        </w:tc>
        <w:tc>
          <w:tcPr>
            <w:tcW w:type="dxa" w:w="150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CVE code</w:t>
            </w:r>
          </w:p>
        </w:tc>
        <w:tc>
          <w:tcPr>
            <w:tcW w:type="dxa" w:w="290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Description</w:t>
            </w:r>
          </w:p>
        </w:tc>
        <w:tc>
          <w:tcPr>
            <w:tcW w:type="dxa" w:w="900"/>
            <w:shd w:fill="D9E2F3" w:color="auto" w:val="clear"/>
            <w:tcMar>
              <w:top w:type="dxa" w:w="70"/>
              <w:left w:type="dxa" w:w="100"/>
              <w:bottom w:type="dxa" w:w="70"/>
              <w:right w:type="dxa" w:w="100"/>
            </w:tcMar>
          </w:tcPr>
          <w:p>
            <w:pPr>
              <w:spacing w:after="0" w:line="240"/>
            </w:pPr>
            <w:r>
              <w:rPr>
                <w:rFonts w:ascii="Calibri" w:cs="Calibri" w:eastAsia="Calibri" w:hAnsi="Calibri"/>
                <w:b/>
                <w:bCs/>
                <w:color w:val="1F3864"/>
                <w:sz w:val="18"/>
                <w:szCs w:val="18"/>
              </w:rPr>
              <w:t xml:space="preserve">CVSS v3.1</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spring-core / spring-web / spring-webmvc 5.2.3.RELEASE</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cpe:2.3:a:vmware:spring_framework:5.2.3:release (also matched to pivotal_software and springsource)</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CVE-2022-22965 ("Spring4Shell"); CVE-2016-1000027; CVE-2024-22259; CVE-2021-22118</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Spring4Shell: remote code execution through data binding on JDK 9+ when the application is deployed as a WAR on Tomcat; class-loader manipulation lets an attacker write a JSP web shell. CVE-2016-1000027: unsafe Java deserialization of untrusted data in spring-web. CVE-2024-22259: URL parsing inconsistency enabling open redirect and SSRF. CVE-2021-22118: a local privilege escalation through the WebFlux multipart temporary directory.</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9.8 Critical; 9.8 Critical; 8.1 High; 7.8 High</w:t>
            </w:r>
          </w:p>
        </w:tc>
      </w:tr>
      <w:tr>
        <w:tc>
          <w:tcPr>
            <w:tcW w:type="dxa" w:w="20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tomcat-embed-core 9.0.30</w:t>
            </w:r>
          </w:p>
        </w:tc>
        <w:tc>
          <w:tcPr>
            <w:tcW w:type="dxa" w:w="2060"/>
            <w:shd w:fill="F2F5FB" w:color="auto" w:val="clear"/>
            <w:tcMar>
              <w:top w:type="dxa" w:w="70"/>
              <w:left w:type="dxa" w:w="100"/>
              <w:bottom w:type="dxa" w:w="70"/>
              <w:right w:type="dxa" w:w="100"/>
            </w:tcMar>
          </w:tcPr>
          <w:p>
            <w:pPr>
              <w:spacing w:after="0" w:line="240"/>
            </w:pPr>
            <w:r>
              <w:rPr>
                <w:rFonts w:ascii="Consolas" w:cs="Consolas" w:eastAsia="Consolas" w:hAnsi="Consolas"/>
                <w:sz w:val="15"/>
                <w:szCs w:val="15"/>
              </w:rPr>
              <w:t>cpe:2.3:a:apache:tomcat:9.0.30</w:t>
            </w:r>
          </w:p>
        </w:tc>
        <w:tc>
          <w:tcPr>
            <w:tcW w:type="dxa" w:w="15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CVE-2020-1938 ("Ghostcat"); CVE-2024-52316; CVE-2020-9484; 28 others (31 total)</w:t>
            </w:r>
          </w:p>
        </w:tc>
        <w:tc>
          <w:tcPr>
            <w:tcW w:type="dxa" w:w="290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Ghostcat: the AJP connector, enabled by default and bound to all interfaces, lets an attacker read arbitrary files inside the web application and process any uploaded file as a JSP. CVE-2024-52316: a failure in the Jakarta Authentication path allows authentication to be bypassed entirely. CVE-2020-9484: deserialization of untrusted data during FileStore session persistence permits code execution.</w:t>
            </w:r>
          </w:p>
        </w:tc>
        <w:tc>
          <w:tcPr>
            <w:tcW w:type="dxa" w:w="9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9.8 Critical; 9.8 Critical; 7.0 High</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tomcat-embed-websocket 9.0.30</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cpe:2.3:a:apache:tomcat:9.0.30</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32 CVEs inherited from the shared Tomcat CPE, including CVE-2020-8022</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This JAR shares the apache:tomcat:9.0.30 CPE with tomcat-embed-core, so it inherits the entire Tomcat CVE list even though the WebSocket module contains almost none of the affected code. CVE-2020-8022 is an incorrect-default-permissions flaw in the SUSE Linux RPM packaging of Tomcat and cannot apply to a Maven JAR at all. Discussed as a false positive in section 4.</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9.8 Critical (highest)</w:t>
            </w:r>
          </w:p>
        </w:tc>
      </w:tr>
      <w:tr>
        <w:tc>
          <w:tcPr>
            <w:tcW w:type="dxa" w:w="20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snakeyaml 1.25</w:t>
            </w:r>
          </w:p>
        </w:tc>
        <w:tc>
          <w:tcPr>
            <w:tcW w:type="dxa" w:w="2060"/>
            <w:shd w:fill="F2F5FB" w:color="auto" w:val="clear"/>
            <w:tcMar>
              <w:top w:type="dxa" w:w="70"/>
              <w:left w:type="dxa" w:w="100"/>
              <w:bottom w:type="dxa" w:w="70"/>
              <w:right w:type="dxa" w:w="100"/>
            </w:tcMar>
          </w:tcPr>
          <w:p>
            <w:pPr>
              <w:spacing w:after="0" w:line="240"/>
            </w:pPr>
            <w:r>
              <w:rPr>
                <w:rFonts w:ascii="Consolas" w:cs="Consolas" w:eastAsia="Consolas" w:hAnsi="Consolas"/>
                <w:sz w:val="15"/>
                <w:szCs w:val="15"/>
              </w:rPr>
              <w:t>cpe:2.3:a:snakeyaml_project:snakeyaml:1.25</w:t>
            </w:r>
          </w:p>
        </w:tc>
        <w:tc>
          <w:tcPr>
            <w:tcW w:type="dxa" w:w="15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CVE-2022-1471; CVE-2017-18640; CVE-2022-25857; 5 others (8 total)</w:t>
            </w:r>
          </w:p>
        </w:tc>
        <w:tc>
          <w:tcPr>
            <w:tcW w:type="dxa" w:w="290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The default Constructor does not restrict which types may be instantiated, so parsing attacker-supplied YAML yields remote code execution. Separately, the alias feature permits unbounded entity expansion (the "billion laughs" attack) and deeply nested structures trigger stack exhaustion, both denying service.</w:t>
            </w:r>
          </w:p>
        </w:tc>
        <w:tc>
          <w:tcPr>
            <w:tcW w:type="dxa" w:w="9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9.8 Critical; 7.5 High; 7.5 High</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spring-boot / spring-boot-starter-web 2.2.4.RELEASE</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cpe:2.3:a:vmware:spring_boot:2.2.4:release</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CVE-2023-20873; CVE-2022-27772; CVE-2023-20883</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CVE-2023-20873: a security bypass affecting applications deployed to Cloud Foundry, so its 9.8 rating is conditional on a deployment target this project does not use. CVE-2022-27772: temporary-directory hijacking allowing local privilege escalation. CVE-2023-20883: a Spring Expression denial of service on the error page path.</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9.8 Critical; 7.8 High; 7.5 High</w:t>
            </w:r>
          </w:p>
        </w:tc>
      </w:tr>
      <w:tr>
        <w:tc>
          <w:tcPr>
            <w:tcW w:type="dxa" w:w="20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jackson-databind 2.10.2</w:t>
            </w:r>
          </w:p>
        </w:tc>
        <w:tc>
          <w:tcPr>
            <w:tcW w:type="dxa" w:w="2060"/>
            <w:shd w:fill="F2F5FB" w:color="auto" w:val="clear"/>
            <w:tcMar>
              <w:top w:type="dxa" w:w="70"/>
              <w:left w:type="dxa" w:w="100"/>
              <w:bottom w:type="dxa" w:w="70"/>
              <w:right w:type="dxa" w:w="100"/>
            </w:tcMar>
          </w:tcPr>
          <w:p>
            <w:pPr>
              <w:spacing w:after="0" w:line="240"/>
            </w:pPr>
            <w:r>
              <w:rPr>
                <w:rFonts w:ascii="Consolas" w:cs="Consolas" w:eastAsia="Consolas" w:hAnsi="Consolas"/>
                <w:sz w:val="15"/>
                <w:szCs w:val="15"/>
              </w:rPr>
              <w:t>cpe:2.3:a:fasterxml:jackson-databind:2.10.2</w:t>
            </w:r>
          </w:p>
        </w:tc>
        <w:tc>
          <w:tcPr>
            <w:tcW w:type="dxa" w:w="15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CVE-2020-25649; CVE-2020-36518; CVE-2021-46877; CVE-2022-42003; 2 others (6 total)</w:t>
            </w:r>
          </w:p>
        </w:tc>
        <w:tc>
          <w:tcPr>
            <w:tcW w:type="dxa" w:w="2900"/>
            <w:shd w:fill="F2F5FB" w:color="auto" w:val="clear"/>
            <w:tcMar>
              <w:top w:type="dxa" w:w="70"/>
              <w:left w:type="dxa" w:w="100"/>
              <w:bottom w:type="dxa" w:w="70"/>
              <w:right w:type="dxa" w:w="100"/>
            </w:tcMar>
          </w:tcPr>
          <w:p>
            <w:pPr>
              <w:spacing w:after="0" w:line="240"/>
            </w:pPr>
            <w:r>
              <w:rPr>
                <w:rFonts w:ascii="Calibri" w:cs="Calibri" w:eastAsia="Calibri" w:hAnsi="Calibri"/>
                <w:sz w:val="18"/>
                <w:szCs w:val="18"/>
              </w:rPr>
              <w:t>Entity expansion is not secured, exposing the XML data-binding path to XML external entity (XXE) attacks against data integrity. Deeply nested JSON triggers a StackOverflowError, and unchecked primitive-array and deserialization-cycle handling produce further resource exhaustion on any endpoint that accepts JSON.</w:t>
            </w:r>
          </w:p>
        </w:tc>
        <w:tc>
          <w:tcPr>
            <w:tcW w:type="dxa" w:w="900"/>
            <w:shd w:fill="F2F5FB" w:color="auto" w:val="clear"/>
            <w:tcMar>
              <w:top w:type="dxa" w:w="70"/>
              <w:left w:type="dxa" w:w="100"/>
              <w:bottom w:type="dxa" w:w="70"/>
              <w:right w:type="dxa" w:w="100"/>
            </w:tcMar>
          </w:tcPr>
          <w:p>
            <w:pPr>
              <w:spacing w:after="0" w:line="240"/>
            </w:pPr>
            <w:r>
              <w:rPr>
                <w:rFonts w:ascii="Calibri" w:cs="Calibri" w:eastAsia="Calibri" w:hAnsi="Calibri"/>
                <w:b/>
                <w:bCs/>
                <w:sz w:val="18"/>
                <w:szCs w:val="18"/>
              </w:rPr>
              <w:t>7.5 High (all four)</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logback-core 1.2.3</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cpe:2.3:a:qos:logback:1.2.3</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CVE-2023-6378; CVE-2021-42550</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CVE-2023-6378: a deserialization flaw in the socket receiver and server components permits a denial of service. CVE-2021-42550: a crafted logback configuration can load and execute arbitrary code from a remote LDAP server, which requires privileges to edit configuration files.</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7.5 High; 6.6 Medium</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hibernate-validator 6.0.18.Final</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cpe:2.3:a:hibernate:hibernate-validator:6.0.18</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CVE-2023-1932; CVE-2020-10693</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A flaw in message interpolation evaluates invalid Expression Language expressions as valid, letting an attacker bypass the sanitization applied to constraint violation messages and inject content into the rendered error output.</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6.1 Medium; 5.3 Medium</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log4j-api 2.12.1</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cpe:2.3:a:apache:log4j:2.12.1</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CVE-2020-9488</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Improper certificate validation in the Log4j SMTP appender permits a man-in-the-middle to intercept log messages. The affected appender lives in log4j-core, which this project does not ship; only log4j-api and log4j-to-slf4j are present. Discussed as a false positive in section 4.</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3.7 Low</w:t>
            </w:r>
          </w:p>
        </w:tc>
      </w:tr>
      <w:tr>
        <w:tc>
          <w:tcPr>
            <w:tcW w:type="dxa" w:w="2000"/>
            <w:tcMar>
              <w:top w:type="dxa" w:w="70"/>
              <w:left w:type="dxa" w:w="100"/>
              <w:bottom w:type="dxa" w:w="70"/>
              <w:right w:type="dxa" w:w="100"/>
            </w:tcMar>
          </w:tcPr>
          <w:p>
            <w:pPr>
              <w:spacing w:after="0" w:line="240"/>
            </w:pPr>
            <w:r>
              <w:rPr>
                <w:rFonts w:ascii="Calibri" w:cs="Calibri" w:eastAsia="Calibri" w:hAnsi="Calibri"/>
                <w:b/>
                <w:bCs/>
                <w:sz w:val="18"/>
                <w:szCs w:val="18"/>
              </w:rPr>
              <w:t>mongo-java-driver 2.4</w:t>
            </w:r>
          </w:p>
        </w:tc>
        <w:tc>
          <w:tcPr>
            <w:tcW w:type="dxa" w:w="2060"/>
            <w:tcMar>
              <w:top w:type="dxa" w:w="70"/>
              <w:left w:type="dxa" w:w="100"/>
              <w:bottom w:type="dxa" w:w="70"/>
              <w:right w:type="dxa" w:w="100"/>
            </w:tcMar>
          </w:tcPr>
          <w:p>
            <w:pPr>
              <w:spacing w:after="0" w:line="240"/>
            </w:pPr>
            <w:r>
              <w:rPr>
                <w:rFonts w:ascii="Consolas" w:cs="Consolas" w:eastAsia="Consolas" w:hAnsi="Consolas"/>
                <w:sz w:val="15"/>
                <w:szCs w:val="15"/>
              </w:rPr>
              <w:t>cpe:2.3:a:mongodb:java_driver:2.4</w:t>
            </w:r>
          </w:p>
        </w:tc>
        <w:tc>
          <w:tcPr>
            <w:tcW w:type="dxa" w:w="1500"/>
            <w:tcMar>
              <w:top w:type="dxa" w:w="70"/>
              <w:left w:type="dxa" w:w="100"/>
              <w:bottom w:type="dxa" w:w="70"/>
              <w:right w:type="dxa" w:w="100"/>
            </w:tcMar>
          </w:tcPr>
          <w:p>
            <w:pPr>
              <w:spacing w:after="0" w:line="240"/>
            </w:pPr>
            <w:r>
              <w:rPr>
                <w:rFonts w:ascii="Calibri" w:cs="Calibri" w:eastAsia="Calibri" w:hAnsi="Calibri"/>
                <w:b/>
                <w:bCs/>
                <w:sz w:val="18"/>
                <w:szCs w:val="18"/>
              </w:rPr>
              <w:t>None reported</w:t>
            </w:r>
          </w:p>
        </w:tc>
        <w:tc>
          <w:tcPr>
            <w:tcW w:type="dxa" w:w="2900"/>
            <w:tcMar>
              <w:top w:type="dxa" w:w="70"/>
              <w:left w:type="dxa" w:w="100"/>
              <w:bottom w:type="dxa" w:w="70"/>
              <w:right w:type="dxa" w:w="100"/>
            </w:tcMar>
          </w:tcPr>
          <w:p>
            <w:pPr>
              <w:spacing w:after="0" w:line="240"/>
            </w:pPr>
            <w:r>
              <w:rPr>
                <w:rFonts w:ascii="Calibri" w:cs="Calibri" w:eastAsia="Calibri" w:hAnsi="Calibri"/>
                <w:sz w:val="18"/>
                <w:szCs w:val="18"/>
              </w:rPr>
              <w:t>Notably, the scan returned zero CVEs for this dependency. Version 12.0.2 correctly resolved it to the MongoDB Java driver CPE rather than the MongoDB database server CPE (cpe:2.3:a:mongodb:mongodb) that older dependency-check releases matched, so the server-side false positive documented in much of the course material no longer appears. The library remains a remediation target on maintenance grounds, not CVE grounds.</w:t>
            </w:r>
          </w:p>
        </w:tc>
        <w:tc>
          <w:tcPr>
            <w:tcW w:type="dxa" w:w="900"/>
            <w:tcMar>
              <w:top w:type="dxa" w:w="70"/>
              <w:left w:type="dxa" w:w="100"/>
              <w:bottom w:type="dxa" w:w="70"/>
              <w:right w:type="dxa" w:w="100"/>
            </w:tcMar>
          </w:tcPr>
          <w:p>
            <w:pPr>
              <w:spacing w:after="0" w:line="240"/>
            </w:pPr>
            <w:r>
              <w:rPr>
                <w:rFonts w:ascii="Calibri" w:cs="Calibri" w:eastAsia="Calibri" w:hAnsi="Calibri"/>
                <w:b/>
                <w:bCs/>
                <w:sz w:val="18"/>
                <w:szCs w:val="18"/>
              </w:rPr>
              <w:t>N/A (0 findings)</w:t>
            </w:r>
          </w:p>
        </w:tc>
      </w:tr>
    </w:tbl>
    <w:p>
      <w:pPr>
        <w:spacing w:after="80" w:line="276"/>
      </w:pPr>
      <w:r>
        <w:rPr>
          <w:rFonts w:ascii="Calibri" w:cs="Calibri" w:eastAsia="Calibri" w:hAnsi="Calibri"/>
          <w:sz w:val="22"/>
          <w:szCs w:val="22"/>
        </w:rPr>
        <w:t xml:space="preserve"/>
      </w:r>
    </w:p>
    <w:p>
      <w:pPr>
        <w:spacing w:after="60" w:line="276"/>
      </w:pPr>
      <w:r>
        <w:rPr>
          <w:rFonts w:ascii="Calibri" w:cs="Calibri" w:eastAsia="Calibri" w:hAnsi="Calibri"/>
          <w:b/>
          <w:bCs/>
          <w:sz w:val="22"/>
          <w:szCs w:val="22"/>
        </w:rPr>
        <w:t>Counts reflect the NVD snapshot held at scan time and the analyzer set enabled for this run. A later scan against refreshed NVD data will report more findings, not fewer, because these library versions are frozen while the vulnerability database continues to grow.</w:t>
      </w:r>
    </w:p>
    <w:p>
      <w:pPr>
        <w:spacing w:after="120" w:before="260"/>
      </w:pPr>
      <w:r>
        <w:rPr>
          <w:rFonts w:ascii="Calibri" w:cs="Calibri" w:eastAsia="Calibri" w:hAnsi="Calibri"/>
          <w:b/>
          <w:bCs/>
          <w:color w:val="1F3864"/>
          <w:sz w:val="26"/>
          <w:szCs w:val="26"/>
        </w:rPr>
        <w:t xml:space="preserve">3. Analysis and Recommended Solutions</w:t>
      </w:r>
    </w:p>
    <w:p>
      <w:pPr>
        <w:spacing w:after="120" w:line="276"/>
      </w:pPr>
      <w:r>
        <w:rPr>
          <w:rFonts w:ascii="Calibri" w:cs="Calibri" w:eastAsia="Calibri" w:hAnsi="Calibri"/>
          <w:sz w:val="22"/>
          <w:szCs w:val="22"/>
        </w:rPr>
        <w:t>Six findings carry a CVSS v3.1 base score of 9.8, and the risk picture is dominated by three of them that are network-reachable without authentication: Spring4Shell (CVE-2022-22965), Ghostcat (CVE-2020-1938), and the SnakeYAML constructor flaw (CVE-2022-1471). All three have public, weaponized exploits, and none can be mitigated by changing application code; each is fixed only by upgrading the affected library. That constraint is what makes the remediation strategy straightforward, because a single change addresses nearly every finding at once.</w:t>
      </w:r>
    </w:p>
    <w:p>
      <w:pPr>
        <w:pStyle w:val="ListParagraph"/>
        <w:numPr>
          <w:ilvl w:val="0"/>
          <w:numId w:val="2"/>
        </w:numPr>
        <w:spacing w:after="80" w:line="276"/>
      </w:pPr>
      <w:r>
        <w:rPr>
          <w:rFonts w:ascii="Calibri" w:cs="Calibri" w:eastAsia="Calibri" w:hAnsi="Calibri"/>
          <w:b/>
          <w:bCs/>
          <w:sz w:val="22"/>
          <w:szCs w:val="22"/>
        </w:rPr>
        <w:t xml:space="preserve">Raise the Spring Boot parent version. </w:t>
      </w:r>
      <w:r>
        <w:rPr>
          <w:rFonts w:ascii="Calibri" w:cs="Calibri" w:eastAsia="Calibri" w:hAnsi="Calibri"/>
          <w:sz w:val="22"/>
          <w:szCs w:val="22"/>
        </w:rPr>
        <w:t xml:space="preserve">Changing the spring-boot-starter-parent from 2.2.4.RELEASE to a currently supported 3.x release re-resolves Spring Framework, Tomcat, Jackson, SnakeYAML, Logback, and Hibernate Validator to patched versions in one edit. This closes CVE-2022-22965, CVE-2020-1938, CVE-2020-9484, CVE-2022-1471, CVE-2017-18640, CVE-2020-25649, CVE-2020-36518, CVE-2021-42550, and CVE-2020-10693 simultaneously. It is a breaking change (Java 17 baseline, jakarta.* namespace), so it belongs on a branch with the full test suite behind it.</w:t>
      </w:r>
    </w:p>
    <w:p>
      <w:pPr>
        <w:pStyle w:val="ListParagraph"/>
        <w:numPr>
          <w:ilvl w:val="0"/>
          <w:numId w:val="2"/>
        </w:numPr>
        <w:spacing w:after="80" w:line="276"/>
      </w:pPr>
      <w:r>
        <w:rPr>
          <w:rFonts w:ascii="Calibri" w:cs="Calibri" w:eastAsia="Calibri" w:hAnsi="Calibri"/>
          <w:b/>
          <w:bCs/>
          <w:sz w:val="22"/>
          <w:szCs w:val="22"/>
        </w:rPr>
        <w:t xml:space="preserve">If the major upgrade cannot be scheduled, pin the patched libraries. </w:t>
      </w:r>
      <w:r>
        <w:rPr>
          <w:rFonts w:ascii="Calibri" w:cs="Calibri" w:eastAsia="Calibri" w:hAnsi="Calibri"/>
          <w:sz w:val="22"/>
          <w:szCs w:val="22"/>
        </w:rPr>
        <w:t xml:space="preserve">Because Spring Boot uses dependency management properties, overriding &lt;spring-framework.version&gt;, &lt;tomcat.version&gt;, &lt;jackson-bom.version&gt;, &lt;snakeyaml.version&gt;, &lt;logback.version&gt;, and &lt;hibernate-validator.version&gt; in the pom raises the transitive versions without moving the parent. This is a stopgap: Spring Boot 2.2.x reached end of life in 2020 and receives no security backports, so the debt returns with the next disclosure.</w:t>
      </w:r>
    </w:p>
    <w:p>
      <w:pPr>
        <w:pStyle w:val="ListParagraph"/>
        <w:numPr>
          <w:ilvl w:val="0"/>
          <w:numId w:val="2"/>
        </w:numPr>
        <w:spacing w:after="80" w:line="276"/>
      </w:pPr>
      <w:r>
        <w:rPr>
          <w:rFonts w:ascii="Calibri" w:cs="Calibri" w:eastAsia="Calibri" w:hAnsi="Calibri"/>
          <w:b/>
          <w:bCs/>
          <w:sz w:val="22"/>
          <w:szCs w:val="22"/>
        </w:rPr>
        <w:t>Replace mongo-java-driver 2.4. This artifact was published in December 2010 and MongoDB no longer maintains it; the vendor directs users to mongodb-driver-sync, or mongodb-driver-legacy where the old API is required. The scan attributes no CVEs to it, so this recommendation rests on maintenance risk rather than a disclosed vulnerability: an unmaintained sixteen-year-old client receives no patches if a flaw is found, and it is the one dependency the team added deliberately rather than inherited from the parent POM. Absence of evidence in a CPE-matched scan is not evidence of absence.</w:t>
      </w:r>
    </w:p>
    <w:p>
      <w:pPr>
        <w:pStyle w:val="ListParagraph"/>
        <w:numPr>
          <w:ilvl w:val="0"/>
          <w:numId w:val="2"/>
        </w:numPr>
        <w:spacing w:after="80" w:line="276"/>
      </w:pPr>
      <w:r>
        <w:rPr>
          <w:rFonts w:ascii="Calibri" w:cs="Calibri" w:eastAsia="Calibri" w:hAnsi="Calibri"/>
          <w:b/>
          <w:bCs/>
          <w:sz w:val="22"/>
          <w:szCs w:val="22"/>
        </w:rPr>
        <w:t xml:space="preserve">Make the check enforcing, not advisory. </w:t>
      </w:r>
      <w:r>
        <w:rPr>
          <w:rFonts w:ascii="Calibri" w:cs="Calibri" w:eastAsia="Calibri" w:hAnsi="Calibri"/>
          <w:sz w:val="22"/>
          <w:szCs w:val="22"/>
        </w:rPr>
        <w:t xml:space="preserve">Binding the dependency-check goal to the build lifecycle with a failBuildOnCVSS threshold turns this from a one-time report into a gate, so a future contributor cannot reintroduce a critical dependency without the build stopping. Pairing that with a scheduled scan catches CVEs disclosed against libraries the project already ships.</w:t>
      </w:r>
    </w:p>
    <w:p>
      <w:pPr>
        <w:spacing w:after="120" w:line="276"/>
      </w:pPr>
      <w:r>
        <w:rPr>
          <w:rFonts w:ascii="Calibri" w:cs="Calibri" w:eastAsia="Calibri" w:hAnsi="Calibri"/>
          <w:sz w:val="22"/>
          <w:szCs w:val="22"/>
        </w:rPr>
        <w:t>Prioritization should follow exploitability rather than raw score. Ghostcat, Spring4Shell, and the SnakeYAML deserialization flaw are network-reachable, unauthenticated, and have working public exploits, so they come first. CVE-2023-20873 shares their 9.8 rating but only affects Cloud Foundry deployments, which places it well below them in practice, and it is a useful reminder that a base score describes a worst-case configuration rather than this application's actual exposure. The Logback and Hibernate Validator issues require an attacker to already hold configuration-edit privileges or to reach a constraint-violation message path, which makes them real but secondary.</w:t>
      </w:r>
    </w:p>
    <w:p>
      <w:pPr>
        <w:spacing w:after="120" w:before="260"/>
      </w:pPr>
      <w:r>
        <w:rPr>
          <w:rFonts w:ascii="Calibri" w:cs="Calibri" w:eastAsia="Calibri" w:hAnsi="Calibri"/>
          <w:b/>
          <w:bCs/>
          <w:color w:val="1F3864"/>
          <w:sz w:val="26"/>
          <w:szCs w:val="26"/>
        </w:rPr>
        <w:t xml:space="preserve">4. Why False Positives Must Be Filtered</w:t>
      </w:r>
    </w:p>
    <w:p>
      <w:pPr>
        <w:spacing w:after="120" w:line="276"/>
      </w:pPr>
      <w:r>
        <w:rPr>
          <w:rFonts w:ascii="Calibri" w:cs="Calibri" w:eastAsia="Calibri" w:hAnsi="Calibri"/>
          <w:sz w:val="22"/>
          <w:szCs w:val="22"/>
        </w:rPr>
        <w:t>Dependency-check does not read code; it infers identity. It derives evidence from a JAR's file name, manifest, and POM metadata, guesses a matching CPE, and then reports every CVE registered against that CPE. When the guess is wrong, the finding is wrong, and this report contains three clear illustrations. CVE-2020-8022, rated 7.8 High against tomcat-embed-websocket, is an incorrect-permissions flaw in the SUSE Linux RPM packaging of Tomcat; it describes file ownership in a Linux distribution package and has no meaning for a JAR on a classpath. CVE-2020-9488 is attributed to log4j-api 2.12.1, but the vulnerable SMTP appender ships in log4j-core, which this project does not include at all. Most strikingly, spring-web, spring-webmvc, and spring-boot-starter-web are each matched to cpe:2.3:a:web_project:web, an unrelated product identifier selected on the strength of the token "web" in the artifact name. The same mechanism explains why tomcat-embed-websocket reports 32 CVEs while tomcat-embed-core reports 31: the WebSocket JAR shares the Tomcat CPE and inherits the full server CVE list despite containing almost none of the affected code.</w:t>
      </w:r>
    </w:p>
    <w:p>
      <w:pPr>
        <w:spacing w:after="120" w:line="276"/>
      </w:pPr>
      <w:r>
        <w:rPr>
          <w:rFonts w:ascii="Calibri" w:cs="Calibri" w:eastAsia="Calibri" w:hAnsi="Calibri"/>
          <w:sz w:val="22"/>
          <w:szCs w:val="22"/>
        </w:rPr>
        <w:t>It is worth noting what this scan did not produce. Course materials built around dependency-check 5.x describe mongo-java-driver being mapped onto cpe:2.3:a:mongodb:mongodb, the identifier for the MongoDB database server, so that server-side CVEs were attributed to a client library. Version 12.0.2 resolves the same JAR to cpe:2.3:a:mongodb:java_driver and reports zero vulnerabilities against it. The canonical false positive has been fixed upstream, which is itself an argument for keeping the scanner current: an outdated analyzer generates both false positives and false negatives.</w:t>
      </w:r>
    </w:p>
    <w:p>
      <w:pPr>
        <w:spacing w:after="120" w:line="276"/>
      </w:pPr>
      <w:r>
        <w:rPr>
          <w:rFonts w:ascii="Calibri" w:cs="Calibri" w:eastAsia="Calibri" w:hAnsi="Calibri"/>
          <w:sz w:val="22"/>
          <w:szCs w:val="22"/>
        </w:rPr>
        <w:t>Filtering matters for three reasons. First, remediation effort is finite, and time spent chasing a SUSE packaging bug through an embedded WebSocket library is time not spent upgrading Tomcat. Second, unfiltered noise erodes trust in the tool, and a report developers have learned to skim is a report that will hide the next genuine critical finding. Third, if the scan is wired into continuous integration with a failure threshold, false positives break builds that should have passed, which pressures the team into disabling the gate altogether, the worst possible outcome. The correct handling is verification followed by documented suppression. Each finding should be checked against the affected-version range and affected-configuration list on its NVD or vendor advisory page, and against what the library actually does. Confirmed non-issues belong in a dependency-check-suppression.xml file committed alongside the POM, each with a notes element recording who validated it and when. That keeps every suppression auditable and forces it to be revisited rather than silently inherited, and it is why the report's "Vulnerabilities Suppressed" count, currently zero, belongs in the scan information above. A suppression written without that justification is more dangerous than the false positive it hides.</w:t>
      </w:r>
    </w:p>
    <w:p>
      <w:pPr>
        <w:spacing w:after="120" w:before="260"/>
      </w:pPr>
      <w:r>
        <w:rPr>
          <w:rFonts w:ascii="Calibri" w:cs="Calibri" w:eastAsia="Calibri" w:hAnsi="Calibri"/>
          <w:b/>
          <w:bCs/>
          <w:color w:val="1F3864"/>
          <w:sz w:val="26"/>
          <w:szCs w:val="26"/>
        </w:rPr>
        <w:t xml:space="preserve">References</w:t>
      </w:r>
    </w:p>
    <w:p>
      <w:pPr>
        <w:spacing w:after="100" w:line="276"/>
        <w:ind w:left="720" w:hanging="720"/>
      </w:pPr>
      <w:r>
        <w:rPr>
          <w:rFonts w:ascii="Calibri" w:cs="Calibri" w:eastAsia="Calibri" w:hAnsi="Calibri"/>
          <w:sz w:val="22"/>
          <w:szCs w:val="22"/>
        </w:rPr>
        <w:t>Apache Software Foundation. (2020). Apache Tomcat 9 vulnerabilities. https://tomcat.apache.org/security-9.html</w:t>
      </w:r>
    </w:p>
    <w:p>
      <w:pPr>
        <w:spacing w:after="100" w:line="276"/>
        <w:ind w:left="720" w:hanging="720"/>
      </w:pPr>
      <w:r>
        <w:rPr>
          <w:rFonts w:ascii="Calibri" w:cs="Calibri" w:eastAsia="Calibri" w:hAnsi="Calibri"/>
          <w:sz w:val="22"/>
          <w:szCs w:val="22"/>
        </w:rPr>
        <w:t>MongoDB, Inc. (n.d.). mongo-java-driver 2.4. Maven Repository. https://mvnrepository.com/artifact/org.mongodb/mongo-java-driver/2.4</w:t>
      </w:r>
    </w:p>
    <w:p>
      <w:pPr>
        <w:spacing w:after="100" w:line="276"/>
        <w:ind w:left="720" w:hanging="720"/>
      </w:pPr>
      <w:r>
        <w:rPr>
          <w:rFonts w:ascii="Calibri" w:cs="Calibri" w:eastAsia="Calibri" w:hAnsi="Calibri"/>
          <w:sz w:val="22"/>
          <w:szCs w:val="22"/>
        </w:rPr>
        <w:t>National Institute of Standards and Technology. (2019). CVE-2017-18640 detail. National Vulnerability Database. https://nvd.nist.gov/vuln/detail/CVE-2017-18640</w:t>
      </w:r>
    </w:p>
    <w:p>
      <w:pPr>
        <w:spacing w:after="100" w:line="276"/>
        <w:ind w:left="720" w:hanging="720"/>
      </w:pPr>
      <w:r>
        <w:rPr>
          <w:rFonts w:ascii="Calibri" w:cs="Calibri" w:eastAsia="Calibri" w:hAnsi="Calibri"/>
          <w:sz w:val="22"/>
          <w:szCs w:val="22"/>
        </w:rPr>
        <w:t>National Institute of Standards and Technology. (2020a). CVE-2020-10693 detail. National Vulnerability Database. https://nvd.nist.gov/vuln/detail/CVE-2020-10693</w:t>
      </w:r>
    </w:p>
    <w:p>
      <w:pPr>
        <w:spacing w:after="100" w:line="276"/>
        <w:ind w:left="720" w:hanging="720"/>
      </w:pPr>
      <w:r>
        <w:rPr>
          <w:rFonts w:ascii="Calibri" w:cs="Calibri" w:eastAsia="Calibri" w:hAnsi="Calibri"/>
          <w:sz w:val="22"/>
          <w:szCs w:val="22"/>
        </w:rPr>
        <w:t>National Institute of Standards and Technology. (2020b). CVE-2020-1938 detail. National Vulnerability Database. https://nvd.nist.gov/vuln/detail/CVE-2020-1938</w:t>
      </w:r>
    </w:p>
    <w:p>
      <w:pPr>
        <w:spacing w:after="100" w:line="276"/>
        <w:ind w:left="720" w:hanging="720"/>
      </w:pPr>
      <w:r>
        <w:rPr>
          <w:rFonts w:ascii="Calibri" w:cs="Calibri" w:eastAsia="Calibri" w:hAnsi="Calibri"/>
          <w:sz w:val="22"/>
          <w:szCs w:val="22"/>
        </w:rPr>
        <w:t>National Institute of Standards and Technology. (2020c). CVE-2020-25649 detail. National Vulnerability Database. https://nvd.nist.gov/vuln/detail/CVE-2020-25649</w:t>
      </w:r>
    </w:p>
    <w:p>
      <w:pPr>
        <w:spacing w:after="100" w:line="276"/>
        <w:ind w:left="720" w:hanging="720"/>
      </w:pPr>
      <w:r>
        <w:rPr>
          <w:rFonts w:ascii="Calibri" w:cs="Calibri" w:eastAsia="Calibri" w:hAnsi="Calibri"/>
          <w:sz w:val="22"/>
          <w:szCs w:val="22"/>
        </w:rPr>
        <w:t>National Institute of Standards and Technology. (2020d). CVE-2020-8022 detail. National Vulnerability Database. https://nvd.nist.gov/vuln/detail/CVE-2020-8022</w:t>
      </w:r>
    </w:p>
    <w:p>
      <w:pPr>
        <w:spacing w:after="100" w:line="276"/>
        <w:ind w:left="720" w:hanging="720"/>
      </w:pPr>
      <w:r>
        <w:rPr>
          <w:rFonts w:ascii="Calibri" w:cs="Calibri" w:eastAsia="Calibri" w:hAnsi="Calibri"/>
          <w:sz w:val="22"/>
          <w:szCs w:val="22"/>
        </w:rPr>
        <w:t>National Institute of Standards and Technology. (2020e). CVE-2020-9484 detail. National Vulnerability Database. https://nvd.nist.gov/vuln/detail/CVE-2020-9484</w:t>
      </w:r>
    </w:p>
    <w:p>
      <w:pPr>
        <w:spacing w:after="100" w:line="276"/>
        <w:ind w:left="720" w:hanging="720"/>
      </w:pPr>
      <w:r>
        <w:rPr>
          <w:rFonts w:ascii="Calibri" w:cs="Calibri" w:eastAsia="Calibri" w:hAnsi="Calibri"/>
          <w:sz w:val="22"/>
          <w:szCs w:val="22"/>
        </w:rPr>
        <w:t>National Institute of Standards and Technology. (2020f). CVE-2020-9488 detail. National Vulnerability Database. https://nvd.nist.gov/vuln/detail/CVE-2020-9488</w:t>
      </w:r>
    </w:p>
    <w:p>
      <w:pPr>
        <w:spacing w:after="100" w:line="276"/>
        <w:ind w:left="720" w:hanging="720"/>
      </w:pPr>
      <w:r>
        <w:rPr>
          <w:rFonts w:ascii="Calibri" w:cs="Calibri" w:eastAsia="Calibri" w:hAnsi="Calibri"/>
          <w:sz w:val="22"/>
          <w:szCs w:val="22"/>
        </w:rPr>
        <w:t>National Institute of Standards and Technology. (2021). CVE-2021-42550 detail. National Vulnerability Database. https://nvd.nist.gov/vuln/detail/CVE-2021-42550</w:t>
      </w:r>
    </w:p>
    <w:p>
      <w:pPr>
        <w:spacing w:after="100" w:line="276"/>
        <w:ind w:left="720" w:hanging="720"/>
      </w:pPr>
      <w:r>
        <w:rPr>
          <w:rFonts w:ascii="Calibri" w:cs="Calibri" w:eastAsia="Calibri" w:hAnsi="Calibri"/>
          <w:sz w:val="22"/>
          <w:szCs w:val="22"/>
        </w:rPr>
        <w:t>National Institute of Standards and Technology. (2022a). CVE-2016-1000027 detail. National Vulnerability Database. https://nvd.nist.gov/vuln/detail/CVE-2016-1000027</w:t>
      </w:r>
    </w:p>
    <w:p>
      <w:pPr>
        <w:spacing w:after="100" w:line="276"/>
        <w:ind w:left="720" w:hanging="720"/>
      </w:pPr>
      <w:r>
        <w:rPr>
          <w:rFonts w:ascii="Calibri" w:cs="Calibri" w:eastAsia="Calibri" w:hAnsi="Calibri"/>
          <w:sz w:val="22"/>
          <w:szCs w:val="22"/>
        </w:rPr>
        <w:t>National Institute of Standards and Technology. (2022b). CVE-2020-36518 detail. National Vulnerability Database. https://nvd.nist.gov/vuln/detail/CVE-2020-36518</w:t>
      </w:r>
    </w:p>
    <w:p>
      <w:pPr>
        <w:spacing w:after="100" w:line="276"/>
        <w:ind w:left="720" w:hanging="720"/>
      </w:pPr>
      <w:r>
        <w:rPr>
          <w:rFonts w:ascii="Calibri" w:cs="Calibri" w:eastAsia="Calibri" w:hAnsi="Calibri"/>
          <w:sz w:val="22"/>
          <w:szCs w:val="22"/>
        </w:rPr>
        <w:t>National Institute of Standards and Technology. (2022c). CVE-2022-1471 detail. National Vulnerability Database. https://nvd.nist.gov/vuln/detail/CVE-2022-1471</w:t>
      </w:r>
    </w:p>
    <w:p>
      <w:pPr>
        <w:spacing w:after="100" w:line="276"/>
        <w:ind w:left="720" w:hanging="720"/>
      </w:pPr>
      <w:r>
        <w:rPr>
          <w:rFonts w:ascii="Calibri" w:cs="Calibri" w:eastAsia="Calibri" w:hAnsi="Calibri"/>
          <w:sz w:val="22"/>
          <w:szCs w:val="22"/>
        </w:rPr>
        <w:t>National Institute of Standards and Technology. (2022d). CVE-2022-22965 detail. National Vulnerability Database. https://nvd.nist.gov/vuln/detail/CVE-2022-22965</w:t>
      </w:r>
    </w:p>
    <w:p>
      <w:pPr>
        <w:spacing w:after="100" w:line="276"/>
        <w:ind w:left="720" w:hanging="720"/>
      </w:pPr>
      <w:r>
        <w:rPr>
          <w:rFonts w:ascii="Calibri" w:cs="Calibri" w:eastAsia="Calibri" w:hAnsi="Calibri"/>
          <w:sz w:val="22"/>
          <w:szCs w:val="22"/>
        </w:rPr>
        <w:t>National Institute of Standards and Technology. (2023). CVE-2023-20873 detail. National Vulnerability Database. https://nvd.nist.gov/vuln/detail/CVE-2023-20873</w:t>
      </w:r>
    </w:p>
    <w:p>
      <w:pPr>
        <w:spacing w:after="100" w:line="276"/>
        <w:ind w:left="720" w:hanging="720"/>
      </w:pPr>
      <w:r>
        <w:rPr>
          <w:rFonts w:ascii="Calibri" w:cs="Calibri" w:eastAsia="Calibri" w:hAnsi="Calibri"/>
          <w:sz w:val="22"/>
          <w:szCs w:val="22"/>
        </w:rPr>
        <w:t>National Institute of Standards and Technology. (2024). CVE-2024-52316 detail. National Vulnerability Database. https://nvd.nist.gov/vuln/detail/CVE-2024-52316</w:t>
      </w:r>
    </w:p>
    <w:p>
      <w:pPr>
        <w:spacing w:after="100" w:line="276"/>
        <w:ind w:left="720" w:hanging="720"/>
      </w:pPr>
      <w:r>
        <w:rPr>
          <w:rFonts w:ascii="Calibri" w:cs="Calibri" w:eastAsia="Calibri" w:hAnsi="Calibri"/>
          <w:sz w:val="22"/>
          <w:szCs w:val="22"/>
        </w:rPr>
        <w:t>OWASP Foundation. (n.d.). OWASP dependency-check. https://owasp.org/www-project-dependency-check/</w:t>
      </w:r>
    </w:p>
    <w:p>
      <w:pPr>
        <w:spacing w:after="100" w:line="276"/>
        <w:ind w:left="720" w:hanging="720"/>
      </w:pPr>
      <w:r>
        <w:rPr>
          <w:rFonts w:ascii="Calibri" w:cs="Calibri" w:eastAsia="Calibri" w:hAnsi="Calibri"/>
          <w:sz w:val="22"/>
          <w:szCs w:val="22"/>
        </w:rPr>
        <w:t>VMware Tanzu. (2022). CVE-2022-22965: Spring Framework RCE via data binding on JDK 9+. https://spring.io/security/cve-2022-22965</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07xaqer0uia6jislkcon" Type="http://schemas.openxmlformats.org/officeDocument/2006/relationships/hyperlink" Target="https://tomcat.apache.org/security-9.html" TargetMode="External"/><Relationship Id="rIdfkwi7qpb2qvkgj1d1jddt" Type="http://schemas.openxmlformats.org/officeDocument/2006/relationships/hyperlink" Target="https://mvnrepository.com/artifact/org.mongodb/mongo-java-driver/2.4" TargetMode="External"/><Relationship Id="rIdct66o24j7kqpvsryfq6qa" Type="http://schemas.openxmlformats.org/officeDocument/2006/relationships/hyperlink" Target="https://nvd.nist.gov/vuln/detail/CVE-2017-18640" TargetMode="External"/><Relationship Id="rIdmlrye3dzo4nxnjsbzgqc3" Type="http://schemas.openxmlformats.org/officeDocument/2006/relationships/hyperlink" Target="https://nvd.nist.gov/vuln/detail/CVE-2020-10693" TargetMode="External"/><Relationship Id="rIdnzvqi9jyvp5thbhfel1wb" Type="http://schemas.openxmlformats.org/officeDocument/2006/relationships/hyperlink" Target="https://nvd.nist.gov/vuln/detail/CVE-2020-1938" TargetMode="External"/><Relationship Id="rId7afuwapy1-wimtvr4akbo" Type="http://schemas.openxmlformats.org/officeDocument/2006/relationships/hyperlink" Target="https://nvd.nist.gov/vuln/detail/CVE-2020-25649" TargetMode="External"/><Relationship Id="rIdbt780ovsiupzrjfy-w1na" Type="http://schemas.openxmlformats.org/officeDocument/2006/relationships/hyperlink" Target="https://nvd.nist.gov/vuln/detail/CVE-2020-9484" TargetMode="External"/><Relationship Id="rId475tlm4xfcu-_jwtpcjfj" Type="http://schemas.openxmlformats.org/officeDocument/2006/relationships/hyperlink" Target="https://nvd.nist.gov/vuln/detail/CVE-2021-42550" TargetMode="External"/><Relationship Id="rId-vt097w6lfzbfpx_wp5km" Type="http://schemas.openxmlformats.org/officeDocument/2006/relationships/hyperlink" Target="https://nvd.nist.gov/vuln/detail/CVE-2020-36518" TargetMode="External"/><Relationship Id="rIdrjygok4eoklrr_yrcibpw" Type="http://schemas.openxmlformats.org/officeDocument/2006/relationships/hyperlink" Target="https://nvd.nist.gov/vuln/detail/CVE-2022-1471" TargetMode="External"/><Relationship Id="rIde6ho5b7zfy6jy8k2r6mie" Type="http://schemas.openxmlformats.org/officeDocument/2006/relationships/hyperlink" Target="https://nvd.nist.gov/vuln/detail/CVE-2022-22965" TargetMode="External"/><Relationship Id="rIdqtfi695topy1kzmufrzun" Type="http://schemas.openxmlformats.org/officeDocument/2006/relationships/hyperlink" Target="https://owasp.org/www-project-dependency-check/" TargetMode="External"/><Relationship Id="rIdi6z_ecujiztqlo9tkk5dl" Type="http://schemas.openxmlformats.org/officeDocument/2006/relationships/hyperlink" Target="https://spring.io/security/cve-2022-22965" TargetMode="External"/><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2026-09-01T06:30:03.297Z</dcterms:created>
  <dcterms:modified xsi:type="dcterms:W3CDTF">2026-09-01T06:30:03.298Z</dcterms:modified>
</cp:coreProperties>
</file>

<file path=docProps/custom.xml><?xml version="1.0" encoding="utf-8"?>
<Properties xmlns="http://schemas.openxmlformats.org/officeDocument/2006/custom-properties" xmlns:vt="http://schemas.openxmlformats.org/officeDocument/2006/docPropsVTypes"/>
</file>