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F2043" w14:textId="38697B95" w:rsidR="00510C3F" w:rsidRPr="00377CA2" w:rsidRDefault="00853BA2" w:rsidP="00377CA2">
      <w:pPr>
        <w:pStyle w:val="Heading1"/>
        <w:keepNext w:val="0"/>
        <w:keepLines w:val="0"/>
        <w:suppressAutoHyphens/>
        <w:spacing w:before="0" w:line="240" w:lineRule="auto"/>
        <w:contextualSpacing/>
        <w:jc w:val="center"/>
      </w:pPr>
      <w:r>
        <w:t>CS 305 Module Two Written Assignment</w:t>
      </w:r>
    </w:p>
    <w:p>
      <w:pPr>
        <w:spacing w:after="200"/>
      </w:pPr>
      <w:r>
        <w:rPr>
          <w:color w:val="595959"/>
          <w:sz w:val="20"/>
        </w:rPr>
        <w:t>Draven Chen  |  CS 305: Software Security  |  Southern New Hampshire University</w:t>
      </w:r>
    </w:p>
    <w:p w14:paraId="505A3862" w14:textId="77777777" w:rsidR="00377CA2" w:rsidRPr="00377CA2" w:rsidRDefault="00377CA2" w:rsidP="00230741">
      <w:pPr>
        <w:suppressAutoHyphens/>
        <w:spacing w:after="0" w:line="240" w:lineRule="auto"/>
        <w:contextualSpacing/>
        <w:rPr>
          <w:sz w:val="22"/>
        </w:rPr>
      </w:pPr>
    </w:p>
    <w:p w14:paraId="354E3CB2" w14:textId="77777777" w:rsidR="00377CA2" w:rsidRPr="00377CA2" w:rsidRDefault="00377CA2" w:rsidP="00230741">
      <w:pPr>
        <w:suppressAutoHyphens/>
        <w:spacing w:after="0" w:line="240" w:lineRule="auto"/>
        <w:contextualSpacing/>
        <w:rPr>
          <w:b/>
          <w:sz w:val="22"/>
        </w:rPr>
      </w:pPr>
    </w:p>
    <w:p w14:paraId="414A963A" w14:textId="7C9CD1B1" w:rsidR="00E83406" w:rsidRPr="00230741" w:rsidRDefault="00853BA2" w:rsidP="00F55207">
      <w:pPr>
        <w:pStyle w:val="Heading2"/>
        <w:numPr>
          <w:ilvl w:val="0"/>
          <w:numId w:val="7"/>
        </w:numPr>
      </w:pPr>
      <w:r w:rsidRPr="00230741">
        <w:rPr>
          <w:rFonts w:eastAsiaTheme="minorHAnsi"/>
        </w:rPr>
        <w:t>Areas of Securit</w:t>
      </w:r>
      <w:r w:rsidR="00E83406" w:rsidRPr="00230741">
        <w:rPr>
          <w:rFonts w:eastAsiaTheme="minorHAnsi"/>
        </w:rPr>
        <w:t>y</w:t>
      </w:r>
    </w:p>
    <w:p w14:paraId="67043B43" w14:textId="77777777" w:rsidR="00A367B6" w:rsidRDefault="00A367B6" w:rsidP="00230741">
      <w:pPr>
        <w:spacing w:after="0" w:line="240" w:lineRule="auto"/>
        <w:rPr>
          <w:sz w:val="22"/>
        </w:rPr>
      </w:pPr>
    </w:p>
    <w:p>
      <w:r>
        <w:rPr>
          <w:i w:val="0"/>
        </w:rPr>
        <w:t>Based on the architecture of this Spring Boot REST application, and its planned use of the Spring Expression Language (SpEL) to power an expressive command input feature, five of the seven areas of security from the first level of the vulnerability assessment process flow diagram are relevant to this review: Input Validation, APIs, Client/Server, Code Error, and Code Quality.</w:t>
      </w:r>
    </w:p>
    <w:p>
      <w:r>
        <w:rPr>
          <w:i w:val="0"/>
        </w:rPr>
        <w:t>Cryptography and Encapsulation are not primary concerns for the code base as it stands. The application performs no cryptographic operations and uses only simple data structures. Both should be revisited if authentication, encrypted storage, or richer data models are added — and Cryptography becomes relevant immediately if this service is deployed without TLS, since every value it currently accepts and returns travels in plaintext.</w:t>
      </w:r>
    </w:p>
    <w:p w14:paraId="5C736C67" w14:textId="77777777" w:rsidR="00DD23EE" w:rsidRDefault="00DD23EE" w:rsidP="00230741">
      <w:pPr>
        <w:suppressAutoHyphens/>
        <w:spacing w:after="0" w:line="240" w:lineRule="auto"/>
        <w:rPr>
          <w:sz w:val="22"/>
        </w:rPr>
      </w:pPr>
    </w:p>
    <w:p w14:paraId="682E1AF9" w14:textId="05AD5E1E" w:rsidR="00DF333F" w:rsidRPr="00230741" w:rsidRDefault="00DF333F" w:rsidP="00F55207">
      <w:pPr>
        <w:pStyle w:val="Heading2"/>
        <w:numPr>
          <w:ilvl w:val="0"/>
          <w:numId w:val="7"/>
        </w:numPr>
      </w:pPr>
      <w:r w:rsidRPr="00230741">
        <w:t>Areas of Security Justification</w:t>
      </w:r>
    </w:p>
    <w:p w14:paraId="03D8537A" w14:textId="77777777" w:rsidR="00E83406" w:rsidRDefault="00E83406" w:rsidP="00230741">
      <w:pPr>
        <w:suppressAutoHyphens/>
        <w:spacing w:after="0" w:line="240" w:lineRule="auto"/>
        <w:rPr>
          <w:sz w:val="22"/>
        </w:rPr>
      </w:pPr>
    </w:p>
    <w:p>
      <w:pPr>
        <w:spacing w:after="140"/>
        <w:ind w:left="504" w:hanging="288"/>
      </w:pPr>
      <w:r>
        <w:t>•</w:t>
        <w:tab/>
      </w:r>
      <w:r>
        <w:rPr>
          <w:b/>
          <w:i w:val="0"/>
        </w:rPr>
        <w:t xml:space="preserve">Input Validation: </w:t>
      </w:r>
      <w:r>
        <w:rPr>
          <w:b w:val="0"/>
          <w:i w:val="0"/>
        </w:rPr>
        <w:t>The application accepts external input through the "name" request parameter and the "id" path variable. In the greeting endpoint, that input is passed directly into a SpEL expression parser without any validation or sanitization, so confirming that every input is checked, typed, and constrained before use is essential to prevent injection and other unexpected behavior.</w:t>
      </w:r>
    </w:p>
    <w:p>
      <w:pPr>
        <w:spacing w:after="140"/>
        <w:ind w:left="504" w:hanging="288"/>
      </w:pPr>
      <w:r>
        <w:t>•</w:t>
        <w:tab/>
      </w:r>
      <w:r>
        <w:rPr>
          <w:b/>
          <w:i w:val="0"/>
        </w:rPr>
        <w:t xml:space="preserve">APIs: </w:t>
      </w:r>
      <w:r>
        <w:rPr>
          <w:b w:val="0"/>
          <w:i w:val="0"/>
        </w:rPr>
        <w:t>The application exposes two HTTP endpoints, /greeting and /number/{id}, as Spring MVC @RestController methods. It also declares spring-data-rest-webmvc 2.6.5.RELEASE as a dependency that no code currently uses, and the scenario anticipates building the expressive command feature on it. Reviewing how each endpoint accepts, processes, and returns data — and what a declared but unused framework would expose once it is wired up — is necessary to confirm the API surface cannot be abused by a malicious caller.</w:t>
      </w:r>
    </w:p>
    <w:p>
      <w:pPr>
        <w:spacing w:after="140"/>
        <w:ind w:left="504" w:hanging="288"/>
      </w:pPr>
      <w:r>
        <w:t>•</w:t>
        <w:tab/>
      </w:r>
      <w:r>
        <w:rPr>
          <w:b/>
          <w:i w:val="0"/>
        </w:rPr>
        <w:t xml:space="preserve">Client/Server: </w:t>
      </w:r>
      <w:r>
        <w:rPr>
          <w:b w:val="0"/>
          <w:i w:val="0"/>
        </w:rPr>
        <w:t>As a distributed web application, the server must treat every value submitted by a client as untrusted. Both endpoints act on client-supplied values without re-validating them server-side, which makes the client/server trust boundary an area that needs review.</w:t>
      </w:r>
    </w:p>
    <w:p>
      <w:pPr>
        <w:spacing w:after="140"/>
        <w:ind w:left="504" w:hanging="288"/>
      </w:pPr>
      <w:r>
        <w:t>•</w:t>
        <w:tab/>
      </w:r>
      <w:r>
        <w:rPr>
          <w:b/>
          <w:i w:val="0"/>
        </w:rPr>
        <w:t xml:space="preserve">Code Error: </w:t>
      </w:r>
      <w:r>
        <w:rPr>
          <w:b w:val="0"/>
          <w:i w:val="0"/>
        </w:rPr>
        <w:t>The number endpoint indexes into a fixed-size array using a caller-supplied id with no bounds checking, so an out-of-range value produces an unhandled runtime exception. How the application handles, or fails to handle, that kind of error directly affects both availability and how much internal detail is exposed to an attacker.</w:t>
      </w:r>
    </w:p>
    <w:p>
      <w:pPr>
        <w:spacing w:after="140"/>
        <w:ind w:left="504" w:hanging="288"/>
      </w:pPr>
      <w:r>
        <w:t>•</w:t>
        <w:tab/>
      </w:r>
      <w:r>
        <w:rPr>
          <w:b/>
          <w:i w:val="0"/>
        </w:rPr>
        <w:t xml:space="preserve">Code Quality: </w:t>
      </w:r>
      <w:r>
        <w:rPr>
          <w:b w:val="0"/>
          <w:i w:val="0"/>
        </w:rPr>
        <w:t>Using a SpEL parser to evaluate a string built from user input, and printing evaluation results straight to standard output, are coding patterns that increase risk regardless of intent. Reviewing coding practices and patterns is necessary to catch this kind of insecure-by-default implementation before it reaches production.</w:t>
      </w:r>
    </w:p>
    <w:p w14:paraId="539B3745" w14:textId="77777777" w:rsidR="00377CA2" w:rsidRPr="00A367B6" w:rsidRDefault="00377CA2" w:rsidP="00A367B6">
      <w:pPr>
        <w:suppressAutoHyphens/>
        <w:spacing w:after="0" w:line="240" w:lineRule="auto"/>
        <w:rPr>
          <w:sz w:val="22"/>
        </w:rPr>
      </w:pPr>
    </w:p>
    <w:p w14:paraId="502590E1" w14:textId="26222D11" w:rsidR="00510C3F" w:rsidRPr="00F55207" w:rsidRDefault="00853BA2" w:rsidP="00F55207">
      <w:pPr>
        <w:pStyle w:val="Heading2"/>
        <w:numPr>
          <w:ilvl w:val="0"/>
          <w:numId w:val="7"/>
        </w:numPr>
      </w:pPr>
      <w:r w:rsidRPr="00F55207">
        <w:t>Code Review</w:t>
      </w:r>
      <w:r w:rsidR="00972D22" w:rsidRPr="00F55207">
        <w:t xml:space="preserve"> Summary</w:t>
      </w:r>
    </w:p>
    <w:p w14:paraId="65D5E5FE" w14:textId="77777777" w:rsidR="00E83406" w:rsidRDefault="00E83406" w:rsidP="00230741">
      <w:pPr>
        <w:suppressAutoHyphens/>
        <w:spacing w:after="0" w:line="240" w:lineRule="auto"/>
        <w:rPr>
          <w:sz w:val="22"/>
        </w:rPr>
      </w:pPr>
    </w:p>
    <w:p>
      <w:r>
        <w:rPr>
          <w:i w:val="0"/>
        </w:rPr>
        <w:t>I inspected the code base manually, working through the second level of the process flow diagram and focusing the review on the Controllers and APIs branches, since those are where the architecture review identified the relevant risk. Five findings follow, ordered by severity.</w:t>
      </w:r>
    </w:p>
    <w:p>
      <w:pPr>
        <w:spacing w:after="140"/>
        <w:ind w:left="504" w:hanging="288"/>
      </w:pPr>
      <w:r>
        <w:t>•</w:t>
        <w:tab/>
      </w:r>
      <w:r>
        <w:rPr>
          <w:b/>
          <w:i w:val="0"/>
        </w:rPr>
        <w:t xml:space="preserve">1. SpEL injection in GreetingController.greeting() — critical. </w:t>
      </w:r>
      <w:r>
        <w:rPr>
          <w:b w:val="0"/>
          <w:i w:val="0"/>
        </w:rPr>
        <w:t>The "name" query parameter is passed directly into a SpelExpressionParser and evaluated with exp.getValue() before the greeting is built. The parser uses the default StandardEvaluationContext, which grants access to Java types, constructors, and method invocation, so a caller can submit an expression instead of a plain name and have the server execute it. This is expression language injection (CWE-917), and it is the most serious defect in the code base: it is reachable by any unauthenticated client over a plain GET request, and it exists in code this team wrote rather than in a third-party library.</w:t>
      </w:r>
    </w:p>
    <w:p>
      <w:pPr>
        <w:spacing w:after="140"/>
        <w:ind w:left="504" w:hanging="288"/>
      </w:pPr>
      <w:r>
        <w:t>•</w:t>
        <w:tab/>
      </w:r>
      <w:r>
        <w:rPr>
          <w:b/>
          <w:i w:val="0"/>
        </w:rPr>
        <w:t xml:space="preserve">2. Unpatched and unused dependency: spring-data-rest-webmvc 2.6.5.RELEASE — critical, latent. </w:t>
      </w:r>
      <w:r>
        <w:rPr>
          <w:b w:val="0"/>
          <w:i w:val="0"/>
        </w:rPr>
        <w:t>This version is affected by CVE-2017-8046 (CVSS v3.1 base score 9.8), in which a malicious PATCH request carrying crafted JSON achieves arbitrary Java code execution; it was fixed in Spring Data REST 2.6.9. No code in the project currently imports or uses Spring Data REST, and the application exposes no repositories, so the exploit path is not live today. That is a reason to act sooner, not later: the team plans to build the expressive command feature on this library, and doing so on 2.6.5 would activate a known critical remote code execution flaw. A vulnerable dependency carried on the classpath for no current benefit is pure attack surface.</w:t>
      </w:r>
    </w:p>
    <w:p>
      <w:pPr>
        <w:spacing w:after="140"/>
        <w:ind w:left="504" w:hanging="288"/>
      </w:pPr>
      <w:r>
        <w:t>•</w:t>
        <w:tab/>
      </w:r>
      <w:r>
        <w:rPr>
          <w:b/>
          <w:i w:val="0"/>
        </w:rPr>
        <w:t xml:space="preserve">3. Array index out of bounds in GreetingController.number() — moderate. </w:t>
      </w:r>
      <w:r>
        <w:rPr>
          <w:b w:val="0"/>
          <w:i w:val="0"/>
        </w:rPr>
        <w:t>The id path variable is used to index directly into a seven-element int array with no range check. Requesting an id outside 0–6 throws an unhandled ArrayIndexOutOfBoundsException, which interrupts the request and, depending on server error configuration, returns a stack trace disclosing internal class and package names to the caller.</w:t>
      </w:r>
    </w:p>
    <w:p>
      <w:pPr>
        <w:spacing w:after="140"/>
        <w:ind w:left="504" w:hanging="288"/>
      </w:pPr>
      <w:r>
        <w:t>•</w:t>
        <w:tab/>
      </w:r>
      <w:r>
        <w:rPr>
          <w:b/>
          <w:i w:val="0"/>
        </w:rPr>
        <w:t xml:space="preserve">4. Outdated dependency tree inherited from spring-boot-starter-parent 2.2.4.RELEASE — high. </w:t>
      </w:r>
      <w:r>
        <w:rPr>
          <w:b w:val="0"/>
          <w:i w:val="0"/>
        </w:rPr>
        <w:t>The parent reached end of life in 2020 and receives no security backports. This is not an assertion: an OWASP dependency-check scan run against the companion Module 2-2 project, which sits on the same 2.2.4.RELEASE parent, reported 263 findings across 12 vulnerable dependencies, including Ghostcat (CVE-2020-1938) and Spring4Shell (CVE-2022-22965), both scoring 9.8. Because that transitive set is shared, this code base inherits the same exposure.</w:t>
      </w:r>
    </w:p>
    <w:p>
      <w:pPr>
        <w:spacing w:after="140"/>
        <w:ind w:left="504" w:hanging="288"/>
      </w:pPr>
      <w:r>
        <w:t>•</w:t>
        <w:tab/>
      </w:r>
      <w:r>
        <w:rPr>
          <w:b/>
          <w:i w:val="0"/>
        </w:rPr>
        <w:t xml:space="preserve">5. Unsanitized console logging in both endpoints — low. </w:t>
      </w:r>
      <w:r>
        <w:rPr>
          <w:b w:val="0"/>
          <w:i w:val="0"/>
        </w:rPr>
        <w:t>Both methods print request-derived values to standard output with System.out.println before returning a response. Writing unvalidated input straight to output risks log injection or forging, bypasses any log level or retention policy, and can leak data that should not sit in plaintext.</w:t>
      </w:r>
    </w:p>
    <w:p w14:paraId="2C824EEF" w14:textId="77777777" w:rsidR="00377CA2" w:rsidRPr="00A367B6" w:rsidRDefault="00377CA2" w:rsidP="00A367B6">
      <w:pPr>
        <w:suppressAutoHyphens/>
        <w:spacing w:after="0" w:line="240" w:lineRule="auto"/>
        <w:rPr>
          <w:sz w:val="22"/>
        </w:rPr>
      </w:pPr>
    </w:p>
    <w:p w14:paraId="098B72C0" w14:textId="2300A0C0" w:rsidR="00377CA2" w:rsidRPr="00F55207" w:rsidRDefault="00853BA2" w:rsidP="00F55207">
      <w:pPr>
        <w:pStyle w:val="Heading2"/>
        <w:numPr>
          <w:ilvl w:val="0"/>
          <w:numId w:val="7"/>
        </w:numPr>
      </w:pPr>
      <w:r w:rsidRPr="00F55207">
        <w:t>Mitigation Plan</w:t>
      </w:r>
    </w:p>
    <w:p w14:paraId="260E7C5F" w14:textId="77777777" w:rsidR="00E83406" w:rsidRDefault="00E83406" w:rsidP="00230741">
      <w:pPr>
        <w:suppressAutoHyphens/>
        <w:spacing w:after="0" w:line="240" w:lineRule="auto"/>
        <w:rPr>
          <w:sz w:val="22"/>
        </w:rPr>
      </w:pPr>
    </w:p>
    <w:p>
      <w:r>
        <w:rPr>
          <w:i w:val="0"/>
        </w:rPr>
        <w:t>The following changes address each finding above. The first two are the priorities; nothing else on this list matters as much until they are done.</w:t>
      </w:r>
    </w:p>
    <w:p>
      <w:pPr>
        <w:spacing w:after="140"/>
        <w:ind w:left="504" w:hanging="288"/>
      </w:pPr>
      <w:r>
        <w:t>•</w:t>
        <w:tab/>
      </w:r>
      <w:r>
        <w:rPr>
          <w:b/>
          <w:i w:val="0"/>
        </w:rPr>
        <w:t xml:space="preserve">Stop evaluating user input as SpEL. </w:t>
      </w:r>
      <w:r>
        <w:rPr>
          <w:b w:val="0"/>
          <w:i w:val="0"/>
        </w:rPr>
        <w:t>The greeting endpoint does not need expression evaluation at all. Replace the parser.parseExpression(name) and exp.getValue() pattern with the plain name value inside String.format(template, name). Where the expressive command feature genuinely requires expression evaluation, evaluate against a SimpleEvaluationContext rather than the default StandardEvaluationContext, so type references, constructors, and method invocation are unavailable to a submitted expression. Pair that with an allow-list of permitted commands rather than accepting arbitrary expression text.</w:t>
      </w:r>
    </w:p>
    <w:p>
      <w:pPr>
        <w:spacing w:after="140"/>
        <w:ind w:left="504" w:hanging="288"/>
      </w:pPr>
      <w:r>
        <w:t>•</w:t>
        <w:tab/>
      </w:r>
      <w:r>
        <w:rPr>
          <w:b/>
          <w:i w:val="0"/>
        </w:rPr>
        <w:t xml:space="preserve">Remove or upgrade spring-data-rest-webmvc. </w:t>
      </w:r>
      <w:r>
        <w:rPr>
          <w:b w:val="0"/>
          <w:i w:val="0"/>
        </w:rPr>
        <w:t>Delete the dependency outright while it is unused. If the expressive command feature is to be built on Spring Data REST, adopt a version at or beyond 2.6.9 so CVE-2017-8046 is patched before any repository is exposed.</w:t>
      </w:r>
    </w:p>
    <w:p>
      <w:pPr>
        <w:spacing w:after="140"/>
        <w:ind w:left="504" w:hanging="288"/>
      </w:pPr>
      <w:r>
        <w:t>•</w:t>
        <w:tab/>
      </w:r>
      <w:r>
        <w:rPr>
          <w:b/>
          <w:i w:val="0"/>
        </w:rPr>
        <w:t xml:space="preserve">Upgrade the Spring Boot parent and add automated dependency scanning. </w:t>
      </w:r>
      <w:r>
        <w:rPr>
          <w:b w:val="0"/>
          <w:i w:val="0"/>
        </w:rPr>
        <w:t>Move spring-boot-starter-parent to a currently supported 3.x release, which re-resolves Spring Framework, Tomcat, Jackson, SnakeYAML, Logback and Hibernate Validator to patched versions in a single edit. Bind OWASP dependency-check to the build with a failBuildOnCVSS threshold so newly disclosed CVEs are caught by CI rather than by the next manual review.</w:t>
      </w:r>
    </w:p>
    <w:p>
      <w:pPr>
        <w:spacing w:after="140"/>
        <w:ind w:left="504" w:hanging="288"/>
      </w:pPr>
      <w:r>
        <w:t>•</w:t>
        <w:tab/>
      </w:r>
      <w:r>
        <w:rPr>
          <w:b/>
          <w:i w:val="0"/>
        </w:rPr>
        <w:t xml:space="preserve">Add bounds checking. </w:t>
      </w:r>
      <w:r>
        <w:rPr>
          <w:b w:val="0"/>
          <w:i w:val="0"/>
        </w:rPr>
        <w:t>Validate that id falls within 0 to myArray.length − 1 before indexing in number(), and return a controlled 400 Bad Request for values outside that range instead of letting the exception propagate.</w:t>
      </w:r>
    </w:p>
    <w:p>
      <w:pPr>
        <w:spacing w:after="140"/>
        <w:ind w:left="504" w:hanging="288"/>
      </w:pPr>
      <w:r>
        <w:t>•</w:t>
        <w:tab/>
      </w:r>
      <w:r>
        <w:rPr>
          <w:b/>
          <w:i w:val="0"/>
        </w:rPr>
        <w:t xml:space="preserve">Validate all external input at the boundary. </w:t>
      </w:r>
      <w:r>
        <w:rPr>
          <w:b w:val="0"/>
          <w:i w:val="0"/>
        </w:rPr>
        <w:t>Apply Bean Validation constraints (@Pattern, @Size, @Min, @Max) to request parameters and path variables so invalid requests are rejected before any business logic runs.</w:t>
      </w:r>
    </w:p>
    <w:p>
      <w:pPr>
        <w:spacing w:after="140"/>
        <w:ind w:left="504" w:hanging="288"/>
      </w:pPr>
      <w:r>
        <w:t>•</w:t>
        <w:tab/>
      </w:r>
      <w:r>
        <w:rPr>
          <w:b/>
          <w:i w:val="0"/>
        </w:rPr>
        <w:t xml:space="preserve">Handle errors centrally. </w:t>
      </w:r>
      <w:r>
        <w:rPr>
          <w:b w:val="0"/>
          <w:i w:val="0"/>
        </w:rPr>
        <w:t>Add a @ControllerAdvice with @ExceptionHandler methods that convert unexpected exceptions into generic, non-revealing responses, and set server.error.include-stacktrace=never so stack traces never reach a client.</w:t>
      </w:r>
    </w:p>
    <w:p>
      <w:pPr>
        <w:spacing w:after="140"/>
        <w:ind w:left="504" w:hanging="288"/>
      </w:pPr>
      <w:r>
        <w:t>•</w:t>
        <w:tab/>
      </w:r>
      <w:r>
        <w:rPr>
          <w:b/>
          <w:i w:val="0"/>
        </w:rPr>
        <w:t xml:space="preserve">Control logging. </w:t>
      </w:r>
      <w:r>
        <w:rPr>
          <w:b w:val="0"/>
          <w:i w:val="0"/>
        </w:rPr>
        <w:t>Replace System.out.println with SLF4J/Logback at an appropriate level, and sanitize or encode any request-derived value before it is written to a log.</w:t>
      </w:r>
    </w:p>
    <w:p>
      <w:pPr>
        <w:pStyle w:val="Heading2"/>
      </w:pPr>
      <w:r>
        <w:t>References</w:t>
      </w:r>
    </w:p>
    <w:p>
      <w:pPr>
        <w:spacing w:after="120"/>
        <w:ind w:left="720" w:hanging="720"/>
      </w:pPr>
      <w:r>
        <w:t xml:space="preserve">National Institute of Standards and Technology. (2018). CVE-2017-8046 detail. National Vulnerability Database. </w:t>
      </w:r>
      <w:r>
        <w:t>https://nvd.nist.gov/vuln/detail/CVE-2017-8046</w:t>
      </w:r>
    </w:p>
    <w:p>
      <w:pPr>
        <w:spacing w:after="120"/>
        <w:ind w:left="720" w:hanging="720"/>
      </w:pPr>
      <w:r>
        <w:t xml:space="preserve">National Institute of Standards and Technology. (2020). CVE-2020-1938 detail. National Vulnerability Database. </w:t>
      </w:r>
      <w:r>
        <w:t>https://nvd.nist.gov/vuln/detail/CVE-2020-1938</w:t>
      </w:r>
    </w:p>
    <w:p>
      <w:pPr>
        <w:spacing w:after="120"/>
        <w:ind w:left="720" w:hanging="720"/>
      </w:pPr>
      <w:r>
        <w:t xml:space="preserve">National Institute of Standards and Technology. (2022). CVE-2022-22965 detail. National Vulnerability Database. </w:t>
      </w:r>
      <w:r>
        <w:t>https://nvd.nist.gov/vuln/detail/CVE-2022-22965</w:t>
      </w:r>
    </w:p>
    <w:p>
      <w:pPr>
        <w:spacing w:after="120"/>
        <w:ind w:left="720" w:hanging="720"/>
      </w:pPr>
      <w:r>
        <w:t xml:space="preserve">MITRE Corporation. (n.d.). CWE-917: Improper neutralization of special elements used in an expression language statement. </w:t>
      </w:r>
      <w:r>
        <w:t>https://cwe.mitre.org/data/definitions/917.html</w:t>
      </w:r>
    </w:p>
    <w:p>
      <w:pPr>
        <w:spacing w:after="120"/>
        <w:ind w:left="720" w:hanging="720"/>
      </w:pPr>
      <w:r>
        <w:t xml:space="preserve">VMware Tanzu. (n.d.). Spring Framework documentation: Spring Expression Language (SpEL). </w:t>
      </w:r>
      <w:r>
        <w:t>https://docs.spring.io/spring-framework/reference/core/expressions.html</w:t>
      </w:r>
    </w:p>
    <w:sectPr w:rsidR="00DD23EE" w:rsidRPr="00685DF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B5F24" w14:textId="77777777" w:rsidR="00A615B3" w:rsidRDefault="00A615B3" w:rsidP="0035598A">
      <w:pPr>
        <w:spacing w:after="0" w:line="240" w:lineRule="auto"/>
      </w:pPr>
      <w:r>
        <w:separator/>
      </w:r>
    </w:p>
  </w:endnote>
  <w:endnote w:type="continuationSeparator" w:id="0">
    <w:p w14:paraId="1B1D4F6E" w14:textId="77777777" w:rsidR="00A615B3" w:rsidRDefault="00A615B3" w:rsidP="0035598A">
      <w:pPr>
        <w:spacing w:after="0" w:line="240" w:lineRule="auto"/>
      </w:pPr>
      <w:r>
        <w:continuationSeparator/>
      </w:r>
    </w:p>
  </w:endnote>
  <w:endnote w:type="continuationNotice" w:id="1">
    <w:p w14:paraId="2A1E5C4E" w14:textId="77777777" w:rsidR="00A615B3" w:rsidRDefault="00A615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077462"/>
      <w:docPartObj>
        <w:docPartGallery w:val="Page Numbers (Bottom of Page)"/>
        <w:docPartUnique/>
      </w:docPartObj>
    </w:sdtPr>
    <w:sdtEndPr>
      <w:rPr>
        <w:noProof/>
        <w:sz w:val="22"/>
        <w:szCs w:val="20"/>
      </w:rPr>
    </w:sdtEndPr>
    <w:sdtContent>
      <w:p w14:paraId="09D7A400" w14:textId="1A58F484" w:rsidR="00377CA2" w:rsidRPr="00377CA2" w:rsidRDefault="00377CA2">
        <w:pPr>
          <w:pStyle w:val="Footer"/>
          <w:jc w:val="center"/>
          <w:rPr>
            <w:sz w:val="22"/>
            <w:szCs w:val="20"/>
          </w:rPr>
        </w:pPr>
        <w:r w:rsidRPr="00377CA2">
          <w:rPr>
            <w:sz w:val="22"/>
            <w:szCs w:val="20"/>
          </w:rPr>
          <w:fldChar w:fldCharType="begin"/>
        </w:r>
        <w:r w:rsidRPr="00377CA2">
          <w:rPr>
            <w:sz w:val="22"/>
            <w:szCs w:val="20"/>
          </w:rPr>
          <w:instrText xml:space="preserve"> PAGE   \* MERGEFORMAT </w:instrText>
        </w:r>
        <w:r w:rsidRPr="00377CA2">
          <w:rPr>
            <w:sz w:val="22"/>
            <w:szCs w:val="20"/>
          </w:rPr>
          <w:fldChar w:fldCharType="separate"/>
        </w:r>
        <w:r w:rsidRPr="00377CA2">
          <w:rPr>
            <w:noProof/>
            <w:sz w:val="22"/>
            <w:szCs w:val="20"/>
          </w:rPr>
          <w:t>2</w:t>
        </w:r>
        <w:r w:rsidRPr="00377CA2">
          <w:rPr>
            <w:noProof/>
            <w:sz w:val="22"/>
            <w:szCs w:val="20"/>
          </w:rPr>
          <w:fldChar w:fldCharType="end"/>
        </w:r>
      </w:p>
    </w:sdtContent>
  </w:sdt>
  <w:p w14:paraId="73261FF7" w14:textId="77777777" w:rsidR="00377CA2" w:rsidRDefault="00377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3A597" w14:textId="77777777" w:rsidR="00A615B3" w:rsidRDefault="00A615B3" w:rsidP="0035598A">
      <w:pPr>
        <w:spacing w:after="0" w:line="240" w:lineRule="auto"/>
      </w:pPr>
      <w:r>
        <w:separator/>
      </w:r>
    </w:p>
  </w:footnote>
  <w:footnote w:type="continuationSeparator" w:id="0">
    <w:p w14:paraId="536C86B8" w14:textId="77777777" w:rsidR="00A615B3" w:rsidRDefault="00A615B3" w:rsidP="0035598A">
      <w:pPr>
        <w:spacing w:after="0" w:line="240" w:lineRule="auto"/>
      </w:pPr>
      <w:r>
        <w:continuationSeparator/>
      </w:r>
    </w:p>
  </w:footnote>
  <w:footnote w:type="continuationNotice" w:id="1">
    <w:p w14:paraId="141DE4F0" w14:textId="77777777" w:rsidR="00A615B3" w:rsidRDefault="00A615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DEEAD" w14:textId="0761F738" w:rsidR="0035598A" w:rsidRDefault="008009D7" w:rsidP="008009D7">
    <w:pPr>
      <w:pStyle w:val="Header"/>
      <w:spacing w:after="200"/>
      <w:jc w:val="center"/>
    </w:pPr>
    <w:r w:rsidRPr="00085B81">
      <w:rPr>
        <w:noProof/>
      </w:rPr>
      <w:drawing>
        <wp:inline distT="0" distB="0" distL="0" distR="0" wp14:anchorId="7041443C" wp14:editId="12E3953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40145"/>
    <w:multiLevelType w:val="hybridMultilevel"/>
    <w:tmpl w:val="BAE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113A7"/>
    <w:multiLevelType w:val="hybridMultilevel"/>
    <w:tmpl w:val="57BE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562B2"/>
    <w:multiLevelType w:val="hybridMultilevel"/>
    <w:tmpl w:val="4296EDAA"/>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DBB677A"/>
    <w:multiLevelType w:val="hybridMultilevel"/>
    <w:tmpl w:val="EA127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36687F"/>
    <w:multiLevelType w:val="hybridMultilevel"/>
    <w:tmpl w:val="272C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137B35"/>
    <w:multiLevelType w:val="hybridMultilevel"/>
    <w:tmpl w:val="C150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41295">
    <w:abstractNumId w:val="2"/>
  </w:num>
  <w:num w:numId="2" w16cid:durableId="1673020161">
    <w:abstractNumId w:val="5"/>
  </w:num>
  <w:num w:numId="3" w16cid:durableId="1708598061">
    <w:abstractNumId w:val="1"/>
  </w:num>
  <w:num w:numId="4" w16cid:durableId="664164041">
    <w:abstractNumId w:val="6"/>
  </w:num>
  <w:num w:numId="5" w16cid:durableId="1576010246">
    <w:abstractNumId w:val="4"/>
  </w:num>
  <w:num w:numId="6" w16cid:durableId="580532388">
    <w:abstractNumId w:val="3"/>
  </w:num>
  <w:num w:numId="7" w16cid:durableId="148787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DCwNDU0MTMxMTNW0lEKTi0uzszPAykwrAUAf6nb5ywAAAA="/>
  </w:docVars>
  <w:rsids>
    <w:rsidRoot w:val="00853BA2"/>
    <w:rsid w:val="00037B80"/>
    <w:rsid w:val="001138B4"/>
    <w:rsid w:val="00181F0D"/>
    <w:rsid w:val="00182A4D"/>
    <w:rsid w:val="00202582"/>
    <w:rsid w:val="00230741"/>
    <w:rsid w:val="00332B14"/>
    <w:rsid w:val="0035598A"/>
    <w:rsid w:val="00377CA2"/>
    <w:rsid w:val="003E4240"/>
    <w:rsid w:val="0046474B"/>
    <w:rsid w:val="004A34BD"/>
    <w:rsid w:val="004B49A4"/>
    <w:rsid w:val="00510C3F"/>
    <w:rsid w:val="00512FEF"/>
    <w:rsid w:val="005C0980"/>
    <w:rsid w:val="00685DFC"/>
    <w:rsid w:val="0069166E"/>
    <w:rsid w:val="006A51DF"/>
    <w:rsid w:val="006B047A"/>
    <w:rsid w:val="006B104B"/>
    <w:rsid w:val="007C2493"/>
    <w:rsid w:val="007D4526"/>
    <w:rsid w:val="008009D7"/>
    <w:rsid w:val="00853BA2"/>
    <w:rsid w:val="008B2D56"/>
    <w:rsid w:val="0091740F"/>
    <w:rsid w:val="00972D22"/>
    <w:rsid w:val="00973CB0"/>
    <w:rsid w:val="00986653"/>
    <w:rsid w:val="009A01C2"/>
    <w:rsid w:val="009B0DEB"/>
    <w:rsid w:val="00A1067A"/>
    <w:rsid w:val="00A11B04"/>
    <w:rsid w:val="00A246EC"/>
    <w:rsid w:val="00A367B6"/>
    <w:rsid w:val="00A615B3"/>
    <w:rsid w:val="00B019B2"/>
    <w:rsid w:val="00B25E68"/>
    <w:rsid w:val="00BB3AD0"/>
    <w:rsid w:val="00CC330D"/>
    <w:rsid w:val="00D21729"/>
    <w:rsid w:val="00DD23EE"/>
    <w:rsid w:val="00DF333F"/>
    <w:rsid w:val="00E61DA4"/>
    <w:rsid w:val="00E83406"/>
    <w:rsid w:val="00EE4275"/>
    <w:rsid w:val="00F26D86"/>
    <w:rsid w:val="00F47A0F"/>
    <w:rsid w:val="00F55207"/>
    <w:rsid w:val="00F5558C"/>
    <w:rsid w:val="03F51F99"/>
    <w:rsid w:val="0AA662B4"/>
    <w:rsid w:val="187B23FE"/>
    <w:rsid w:val="1B540364"/>
    <w:rsid w:val="1BB04971"/>
    <w:rsid w:val="1E54E06A"/>
    <w:rsid w:val="25407EA9"/>
    <w:rsid w:val="258C380D"/>
    <w:rsid w:val="2AB00664"/>
    <w:rsid w:val="2F05FB83"/>
    <w:rsid w:val="31DD6424"/>
    <w:rsid w:val="368E2D65"/>
    <w:rsid w:val="3ABC0A1C"/>
    <w:rsid w:val="4617039D"/>
    <w:rsid w:val="4A0E4C48"/>
    <w:rsid w:val="4B1B3798"/>
    <w:rsid w:val="4C7A12F7"/>
    <w:rsid w:val="4E588F3E"/>
    <w:rsid w:val="4E5A603E"/>
    <w:rsid w:val="4FB801C0"/>
    <w:rsid w:val="56042137"/>
    <w:rsid w:val="5C9D6919"/>
    <w:rsid w:val="5D69B53E"/>
    <w:rsid w:val="5F05859F"/>
    <w:rsid w:val="64CCC6AB"/>
    <w:rsid w:val="65BA6022"/>
    <w:rsid w:val="66F76F27"/>
    <w:rsid w:val="6DC57207"/>
    <w:rsid w:val="74F2ABFA"/>
    <w:rsid w:val="7A7C9A5E"/>
    <w:rsid w:val="7EF82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81D01"/>
  <w15:chartTrackingRefBased/>
  <w15:docId w15:val="{D94E4FE8-76D0-4124-8E68-4EB0BCF0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A4"/>
    <w:rPr>
      <w:rFonts w:eastAsiaTheme="majorEastAsia" w:cstheme="majorBidi"/>
      <w:b/>
      <w:sz w:val="24"/>
      <w:szCs w:val="32"/>
    </w:rPr>
  </w:style>
  <w:style w:type="character" w:customStyle="1" w:styleId="Heading2Char">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72D22"/>
    <w:pPr>
      <w:ind w:left="720"/>
      <w:contextualSpacing/>
    </w:pPr>
  </w:style>
  <w:style w:type="paragraph" w:styleId="NoSpacing">
    <w:name w:val="No Spacing"/>
    <w:uiPriority w:val="1"/>
    <w:qFormat/>
    <w:rsid w:val="00972D22"/>
    <w:pPr>
      <w:spacing w:after="0" w:line="240" w:lineRule="auto"/>
    </w:pPr>
    <w:rPr>
      <w:sz w:val="24"/>
    </w:rPr>
  </w:style>
  <w:style w:type="paragraph" w:styleId="Revision">
    <w:name w:val="Revision"/>
    <w:hidden/>
    <w:uiPriority w:val="99"/>
    <w:semiHidden/>
    <w:rsid w:val="00202582"/>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489742">
      <w:bodyDiv w:val="1"/>
      <w:marLeft w:val="0"/>
      <w:marRight w:val="0"/>
      <w:marTop w:val="0"/>
      <w:marBottom w:val="0"/>
      <w:divBdr>
        <w:top w:val="none" w:sz="0" w:space="0" w:color="auto"/>
        <w:left w:val="none" w:sz="0" w:space="0" w:color="auto"/>
        <w:bottom w:val="none" w:sz="0" w:space="0" w:color="auto"/>
        <w:right w:val="none" w:sz="0" w:space="0" w:color="auto"/>
      </w:divBdr>
    </w:div>
    <w:div w:id="104971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93A445A2-065B-4E06-8CD4-DC98059A9863}">
  <ds:schemaRefs>
    <ds:schemaRef ds:uri="http://schemas.microsoft.com/sharepoint/v3/contenttype/forms"/>
  </ds:schemaRefs>
</ds:datastoreItem>
</file>

<file path=customXml/itemProps2.xml><?xml version="1.0" encoding="utf-8"?>
<ds:datastoreItem xmlns:ds="http://schemas.openxmlformats.org/officeDocument/2006/customXml" ds:itemID="{DAF30C50-7BC7-427E-B5A2-B202E81C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0497F6-5B6D-4572-8E87-923A34624536}">
  <ds:schemaRefs>
    <ds:schemaRef ds:uri="http://schemas.openxmlformats.org/officeDocument/2006/bibliography"/>
  </ds:schemaRefs>
</ds:datastoreItem>
</file>

<file path=customXml/itemProps4.xml><?xml version="1.0" encoding="utf-8"?>
<ds:datastoreItem xmlns:ds="http://schemas.openxmlformats.org/officeDocument/2006/customXml" ds:itemID="{076B2216-4824-4877-ACC2-CF4AF525D0DB}">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72</TotalTime>
  <Pages>1</Pages>
  <Words>62</Words>
  <Characters>360</Characters>
  <Application>Microsoft Office Word</Application>
  <DocSecurity>0</DocSecurity>
  <Lines>3</Lines>
  <Paragraphs>1</Paragraphs>
  <ScaleCrop>false</ScaleCrop>
  <Company>SNHU</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Code Review and Mitigation Plan Assignment Template</dc:title>
  <dc:subject/>
  <dc:creator>Brown, Tyra</dc:creator>
  <cp:keywords/>
  <dc:description/>
  <cp:lastModifiedBy>Fogg, Daniel</cp:lastModifiedBy>
  <cp:revision>10</cp:revision>
  <dcterms:created xsi:type="dcterms:W3CDTF">2022-05-05T12:40:00Z</dcterms:created>
  <dcterms:modified xsi:type="dcterms:W3CDTF">2024-03-29T17:29:00Z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5162700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