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eastAsia="Times New Roman" w:cs="Times New Roman"/>
          <w:b/>
          <w:i w:val="0"/>
          <w:color w:val="000000"/>
          <w:sz w:val="24"/>
        </w:rPr>
        <w:t>Encrypting Artemis Financial’s Long-Term Archives</w:t>
      </w:r>
    </w:p>
    <w:p>
      <w:pPr>
        <w:spacing w:line="480" w:lineRule="auto" w:before="0" w:after="0"/>
        <w:jc w:val="center"/>
      </w:pPr>
      <w:r>
        <w:rPr>
          <w:rFonts w:ascii="Times New Roman" w:hAnsi="Times New Roman" w:eastAsia="Times New Roman" w:cs="Times New Roman"/>
          <w:b w:val="0"/>
          <w:i w:val="0"/>
          <w:color w:val="000000"/>
          <w:sz w:val="24"/>
        </w:rPr>
        <w:t>Draven Chen  |  CS 305: Software Security  |  Southern New Hampshire University</w:t>
      </w:r>
    </w:p>
    <w:p>
      <w:pPr>
        <w:keepNext/>
        <w:spacing w:line="480" w:lineRule="auto" w:before="0" w:after="0"/>
        <w:jc w:val="center"/>
      </w:pPr>
      <w:r>
        <w:rPr>
          <w:rFonts w:ascii="Times New Roman" w:hAnsi="Times New Roman" w:eastAsia="Times New Roman" w:cs="Times New Roman"/>
          <w:b/>
          <w:i w:val="0"/>
          <w:color w:val="000000"/>
          <w:sz w:val="24"/>
        </w:rPr>
        <w:t>Algorithm Cipher Recommendation</w:t>
      </w:r>
    </w:p>
    <w:p>
      <w:pPr>
        <w:spacing w:line="480" w:lineRule="auto" w:before="0" w:after="0"/>
        <w:ind w:firstLine="720"/>
      </w:pPr>
      <w:r>
        <w:rPr>
          <w:rFonts w:ascii="Times New Roman" w:hAnsi="Times New Roman" w:eastAsia="Times New Roman" w:cs="Times New Roman"/>
          <w:b w:val="0"/>
          <w:i w:val="0"/>
          <w:color w:val="000000"/>
          <w:sz w:val="24"/>
        </w:rPr>
        <w:t>Artemis Financial should encrypt its archive files with AES using a 256-bit key in Galois/Counter Mode (GCM) with no padding, which Java expresses as AES/GCM/NoPadding (Oracle, n.d.). GCM attaches an authentication tag to every file, so a tampered archive refuses to decrypt instead of returning falsified records (Dworkin, 2007). Each archive should get its own random key, wrapped by a master key held in a hardware security module or cloud key service using Java’s AESWrap algorithm.</w:t>
      </w:r>
    </w:p>
    <w:p>
      <w:pPr>
        <w:spacing w:line="480" w:lineRule="auto" w:before="0" w:after="0"/>
        <w:ind w:firstLine="720"/>
      </w:pPr>
      <w:r>
        <w:rPr>
          <w:rFonts w:ascii="Times New Roman" w:hAnsi="Times New Roman" w:eastAsia="Times New Roman" w:cs="Times New Roman"/>
          <w:b w:val="0"/>
          <w:i w:val="0"/>
          <w:color w:val="000000"/>
          <w:sz w:val="24"/>
        </w:rPr>
        <w:t>Attackers rarely defeat AES-256 by brute force. Instead, they steal keys, exploit reused nonces, or abuse insider access. Keys therefore belong apart from the archives, rotate on a schedule, and open only through logged, role-based access (Barker, 2020). GCM’s nonce must never repeat under the same key, because reuse exposes plaintext and lets an attacker forge authentication tags (Dworkin, 2007).</w:t>
      </w:r>
    </w:p>
    <w:p>
      <w:pPr>
        <w:spacing w:line="480" w:lineRule="auto" w:before="0" w:after="0"/>
        <w:ind w:firstLine="720"/>
      </w:pPr>
      <w:r>
        <w:rPr>
          <w:rFonts w:ascii="Times New Roman" w:hAnsi="Times New Roman" w:eastAsia="Times New Roman" w:cs="Times New Roman"/>
          <w:b w:val="0"/>
          <w:i w:val="0"/>
          <w:color w:val="000000"/>
          <w:sz w:val="24"/>
        </w:rPr>
        <w:t>Two risks accompany this recommendation. A lost key makes its archive permanently unreadable, so keys need escrowed backups that outlast the retention period. Algorithms also age, so Artemis Financial should record which cipher protects each file and plan to re-encrypt when guidance changes.</w:t>
      </w:r>
    </w:p>
    <w:p>
      <w:pPr>
        <w:spacing w:line="480" w:lineRule="auto" w:before="0" w:after="0"/>
        <w:ind w:firstLine="720"/>
      </w:pPr>
      <w:r>
        <w:rPr>
          <w:rFonts w:ascii="Times New Roman" w:hAnsi="Times New Roman" w:eastAsia="Times New Roman" w:cs="Times New Roman"/>
          <w:b w:val="0"/>
          <w:i w:val="0"/>
          <w:color w:val="000000"/>
          <w:sz w:val="24"/>
        </w:rPr>
        <w:t>If Artemis Financial is not registered with the SEC, the FTC Safeguards Rule treats it as a financial institution and requires encrypting customer information on its systems and in transit (Federal Trade Commission [FTC], 2022). NIST-approved algorithms in a FIPS 140-3 validated module, backed by written key-management procedures, give auditors evidence of compliance.</w:t>
      </w:r>
    </w:p>
    <w:p>
      <w:pPr>
        <w:spacing w:line="480" w:lineRule="auto" w:before="0" w:after="0"/>
        <w:ind w:firstLine="720"/>
      </w:pPr>
      <w:r>
        <w:rPr>
          <w:rFonts w:ascii="Times New Roman" w:hAnsi="Times New Roman" w:eastAsia="Times New Roman" w:cs="Times New Roman"/>
          <w:b w:val="0"/>
          <w:i w:val="0"/>
          <w:color w:val="000000"/>
          <w:sz w:val="24"/>
        </w:rPr>
        <w:t>Why not always choose the strongest option? Layering ciphers or deploying post-quantum schemes today adds cost and compatibility problems for little practical gain, and AES-128 runs faster while remaining approved. For records kept across decades, though, the added margin of AES-256 justifies its small performance cost.</w:t>
      </w:r>
    </w:p>
    <w:p>
      <w:pPr>
        <w:keepNext/>
        <w:spacing w:line="480" w:lineRule="auto" w:before="0" w:after="0"/>
        <w:jc w:val="center"/>
      </w:pPr>
      <w:r>
        <w:rPr>
          <w:rFonts w:ascii="Times New Roman" w:hAnsi="Times New Roman" w:eastAsia="Times New Roman" w:cs="Times New Roman"/>
          <w:b/>
          <w:i w:val="0"/>
          <w:color w:val="000000"/>
          <w:sz w:val="24"/>
        </w:rPr>
        <w:t>Justification</w:t>
      </w:r>
    </w:p>
    <w:p>
      <w:pPr>
        <w:spacing w:line="480" w:lineRule="auto" w:before="0" w:after="0"/>
        <w:ind w:firstLine="720"/>
      </w:pPr>
      <w:r>
        <w:rPr>
          <w:rFonts w:ascii="Times New Roman" w:hAnsi="Times New Roman" w:eastAsia="Times New Roman" w:cs="Times New Roman"/>
          <w:b w:val="0"/>
          <w:i w:val="0"/>
          <w:color w:val="000000"/>
          <w:sz w:val="24"/>
        </w:rPr>
        <w:t>AES protects confidentiality, while hash functions protect integrity. SHA-256 produces a 256-bit digest that changes completely when any bit of a file changes, so Artemis Financial can confirm years later that an archive is intact (National Institute of Standards and Technology [NIST], 2015). Bit length measures an attacker’s workload: a 256-bit key allows 2 to the 256th power possible values, far beyond any brute-force search.</w:t>
      </w:r>
    </w:p>
    <w:p>
      <w:pPr>
        <w:spacing w:line="480" w:lineRule="auto" w:before="0" w:after="0"/>
        <w:ind w:firstLine="720"/>
      </w:pPr>
      <w:r>
        <w:rPr>
          <w:rFonts w:ascii="Times New Roman" w:hAnsi="Times New Roman" w:eastAsia="Times New Roman" w:cs="Times New Roman"/>
          <w:b w:val="0"/>
          <w:i w:val="0"/>
          <w:color w:val="000000"/>
          <w:sz w:val="24"/>
        </w:rPr>
        <w:t>Random numbers generate those keys and nonces, so a predictable generator undermines everything built on it; Java’s DRBG algorithm supplies cryptographically strong values (Oracle, n.d.). Symmetric ciphers such as AES use one shared secret and encrypt large files quickly. Asymmetric algorithms such as RSA use a public and private key pair and run far slower, so they suit protecting small keys rather than whole archives.</w:t>
      </w:r>
    </w:p>
    <w:p>
      <w:pPr>
        <w:spacing w:line="480" w:lineRule="auto" w:before="0" w:after="0"/>
        <w:ind w:firstLine="720"/>
      </w:pPr>
      <w:r>
        <w:rPr>
          <w:rFonts w:ascii="Times New Roman" w:hAnsi="Times New Roman" w:eastAsia="Times New Roman" w:cs="Times New Roman"/>
          <w:b w:val="0"/>
          <w:i w:val="0"/>
          <w:color w:val="000000"/>
          <w:sz w:val="24"/>
        </w:rPr>
        <w:t>Encryption standards wear out. DES, with its 56-bit key, became too weak for modern hardware; its stopgap successor, Triple DES, is now disallowed for encryption, while AES remains approved (Barker &amp; Roginsky, 2019). AES replaced DES in 2001 (NIST, 2023), and NIST has since standardized ML-KEM to protect key exchange against future quantum computers (NIST, 2024). Pairing AES-256 with a plan to adopt such standards keeps the archives protected for as long as Artemis Financial must retain them.</w:t>
      </w:r>
    </w:p>
    <w:p>
      <w:pPr>
        <w:pageBreakBefore/>
        <w:spacing w:line="480" w:lineRule="auto" w:before="0" w:after="0"/>
        <w:jc w:val="center"/>
      </w:pPr>
      <w:r>
        <w:rPr>
          <w:rFonts w:ascii="Times New Roman" w:hAnsi="Times New Roman" w:eastAsia="Times New Roman" w:cs="Times New Roman"/>
          <w:b/>
          <w:i w:val="0"/>
          <w:color w:val="000000"/>
          <w:sz w:val="24"/>
        </w:rPr>
        <w:t>References</w:t>
      </w:r>
    </w:p>
    <w:p>
      <w:pPr>
        <w:spacing w:line="480" w:lineRule="auto" w:before="0" w:after="0"/>
        <w:ind w:left="720" w:hanging="720"/>
      </w:pPr>
      <w:r>
        <w:rPr>
          <w:rFonts w:ascii="Times New Roman" w:hAnsi="Times New Roman" w:eastAsia="Times New Roman" w:cs="Times New Roman"/>
          <w:b w:val="0"/>
          <w:i w:val="0"/>
          <w:color w:val="000000"/>
          <w:sz w:val="24"/>
        </w:rPr>
        <w:t xml:space="preserve">Barker, E. (2020). </w:t>
      </w:r>
      <w:r>
        <w:rPr>
          <w:rFonts w:ascii="Times New Roman" w:hAnsi="Times New Roman" w:eastAsia="Times New Roman" w:cs="Times New Roman"/>
          <w:b w:val="0"/>
          <w:i/>
          <w:color w:val="000000"/>
          <w:sz w:val="24"/>
        </w:rPr>
        <w:t>Recommendation for key management: Part 1 – General</w:t>
      </w:r>
      <w:r>
        <w:rPr>
          <w:rFonts w:ascii="Times New Roman" w:hAnsi="Times New Roman" w:eastAsia="Times New Roman" w:cs="Times New Roman"/>
          <w:b w:val="0"/>
          <w:i w:val="0"/>
          <w:color w:val="000000"/>
          <w:sz w:val="24"/>
        </w:rPr>
        <w:t xml:space="preserve"> (NIST Special Publication 800-57 Part 1, Rev. 5). National Institute of Standards and Technology. https://doi.org/10.6028/NIST.SP.800-57pt1r5</w:t>
      </w:r>
    </w:p>
    <w:p>
      <w:pPr>
        <w:spacing w:line="480" w:lineRule="auto" w:before="0" w:after="0"/>
        <w:ind w:left="720" w:hanging="720"/>
      </w:pPr>
      <w:r>
        <w:rPr>
          <w:rFonts w:ascii="Times New Roman" w:hAnsi="Times New Roman" w:eastAsia="Times New Roman" w:cs="Times New Roman"/>
          <w:b w:val="0"/>
          <w:i w:val="0"/>
          <w:color w:val="000000"/>
          <w:sz w:val="24"/>
        </w:rPr>
        <w:t xml:space="preserve">Barker, E., &amp; Roginsky, A. (2019). </w:t>
      </w:r>
      <w:r>
        <w:rPr>
          <w:rFonts w:ascii="Times New Roman" w:hAnsi="Times New Roman" w:eastAsia="Times New Roman" w:cs="Times New Roman"/>
          <w:b w:val="0"/>
          <w:i/>
          <w:color w:val="000000"/>
          <w:sz w:val="24"/>
        </w:rPr>
        <w:t>Transitioning the use of cryptographic algorithms and key lengths</w:t>
      </w:r>
      <w:r>
        <w:rPr>
          <w:rFonts w:ascii="Times New Roman" w:hAnsi="Times New Roman" w:eastAsia="Times New Roman" w:cs="Times New Roman"/>
          <w:b w:val="0"/>
          <w:i w:val="0"/>
          <w:color w:val="000000"/>
          <w:sz w:val="24"/>
        </w:rPr>
        <w:t xml:space="preserve"> (NIST Special Publication 800-131A, Rev. 2). National Institute of Standards and Technology. https://doi.org/10.6028/NIST.SP.800-131Ar2</w:t>
      </w:r>
    </w:p>
    <w:p>
      <w:pPr>
        <w:spacing w:line="480" w:lineRule="auto" w:before="0" w:after="0"/>
        <w:ind w:left="720" w:hanging="720"/>
      </w:pPr>
      <w:r>
        <w:rPr>
          <w:rFonts w:ascii="Times New Roman" w:hAnsi="Times New Roman" w:eastAsia="Times New Roman" w:cs="Times New Roman"/>
          <w:b w:val="0"/>
          <w:i w:val="0"/>
          <w:color w:val="000000"/>
          <w:sz w:val="24"/>
        </w:rPr>
        <w:t xml:space="preserve">Dworkin, M. (2007). </w:t>
      </w:r>
      <w:r>
        <w:rPr>
          <w:rFonts w:ascii="Times New Roman" w:hAnsi="Times New Roman" w:eastAsia="Times New Roman" w:cs="Times New Roman"/>
          <w:b w:val="0"/>
          <w:i/>
          <w:color w:val="000000"/>
          <w:sz w:val="24"/>
        </w:rPr>
        <w:t>Recommendation for block cipher modes of operation: Galois/Counter Mode (GCM) and GMAC</w:t>
      </w:r>
      <w:r>
        <w:rPr>
          <w:rFonts w:ascii="Times New Roman" w:hAnsi="Times New Roman" w:eastAsia="Times New Roman" w:cs="Times New Roman"/>
          <w:b w:val="0"/>
          <w:i w:val="0"/>
          <w:color w:val="000000"/>
          <w:sz w:val="24"/>
        </w:rPr>
        <w:t xml:space="preserve"> (NIST Special Publication 800-38D). National Institute of Standards and Technology. https://doi.org/10.6028/NIST.SP.800-38D</w:t>
      </w:r>
    </w:p>
    <w:p>
      <w:pPr>
        <w:spacing w:line="480" w:lineRule="auto" w:before="0" w:after="0"/>
        <w:ind w:left="720" w:hanging="720"/>
      </w:pPr>
      <w:r>
        <w:rPr>
          <w:rFonts w:ascii="Times New Roman" w:hAnsi="Times New Roman" w:eastAsia="Times New Roman" w:cs="Times New Roman"/>
          <w:b w:val="0"/>
          <w:i w:val="0"/>
          <w:color w:val="000000"/>
          <w:sz w:val="24"/>
        </w:rPr>
        <w:t xml:space="preserve">Federal Trade Commission. (2022). </w:t>
      </w:r>
      <w:r>
        <w:rPr>
          <w:rFonts w:ascii="Times New Roman" w:hAnsi="Times New Roman" w:eastAsia="Times New Roman" w:cs="Times New Roman"/>
          <w:b w:val="0"/>
          <w:i/>
          <w:color w:val="000000"/>
          <w:sz w:val="24"/>
        </w:rPr>
        <w:t>FTC Safeguards Rule: What your business needs to know</w:t>
      </w:r>
      <w:r>
        <w:rPr>
          <w:rFonts w:ascii="Times New Roman" w:hAnsi="Times New Roman" w:eastAsia="Times New Roman" w:cs="Times New Roman"/>
          <w:b w:val="0"/>
          <w:i w:val="0"/>
          <w:color w:val="000000"/>
          <w:sz w:val="24"/>
        </w:rPr>
        <w:t>. https://www.ftc.gov/business-guidance/resources/ftc-safeguards-rule-what-your-business-needs-know</w:t>
      </w:r>
    </w:p>
    <w:p>
      <w:pPr>
        <w:spacing w:line="480" w:lineRule="auto" w:before="0" w:after="0"/>
        <w:ind w:left="720" w:hanging="720"/>
      </w:pPr>
      <w:r>
        <w:rPr>
          <w:rFonts w:ascii="Times New Roman" w:hAnsi="Times New Roman" w:eastAsia="Times New Roman" w:cs="Times New Roman"/>
          <w:b w:val="0"/>
          <w:i w:val="0"/>
          <w:color w:val="000000"/>
          <w:sz w:val="24"/>
        </w:rPr>
        <w:t xml:space="preserve">National Institute of Standards and Technology. (2015). </w:t>
      </w:r>
      <w:r>
        <w:rPr>
          <w:rFonts w:ascii="Times New Roman" w:hAnsi="Times New Roman" w:eastAsia="Times New Roman" w:cs="Times New Roman"/>
          <w:b w:val="0"/>
          <w:i/>
          <w:color w:val="000000"/>
          <w:sz w:val="24"/>
        </w:rPr>
        <w:t>Secure hash standard (SHS)</w:t>
      </w:r>
      <w:r>
        <w:rPr>
          <w:rFonts w:ascii="Times New Roman" w:hAnsi="Times New Roman" w:eastAsia="Times New Roman" w:cs="Times New Roman"/>
          <w:b w:val="0"/>
          <w:i w:val="0"/>
          <w:color w:val="000000"/>
          <w:sz w:val="24"/>
        </w:rPr>
        <w:t xml:space="preserve"> (FIPS PUB 180-4). https://doi.org/10.6028/NIST.FIPS.180-4</w:t>
      </w:r>
    </w:p>
    <w:p>
      <w:pPr>
        <w:spacing w:line="480" w:lineRule="auto" w:before="0" w:after="0"/>
        <w:ind w:left="720" w:hanging="720"/>
      </w:pPr>
      <w:r>
        <w:rPr>
          <w:rFonts w:ascii="Times New Roman" w:hAnsi="Times New Roman" w:eastAsia="Times New Roman" w:cs="Times New Roman"/>
          <w:b w:val="0"/>
          <w:i w:val="0"/>
          <w:color w:val="000000"/>
          <w:sz w:val="24"/>
        </w:rPr>
        <w:t xml:space="preserve">National Institute of Standards and Technology. (2023). </w:t>
      </w:r>
      <w:r>
        <w:rPr>
          <w:rFonts w:ascii="Times New Roman" w:hAnsi="Times New Roman" w:eastAsia="Times New Roman" w:cs="Times New Roman"/>
          <w:b w:val="0"/>
          <w:i/>
          <w:color w:val="000000"/>
          <w:sz w:val="24"/>
        </w:rPr>
        <w:t>Advanced encryption standard (AES)</w:t>
      </w:r>
      <w:r>
        <w:rPr>
          <w:rFonts w:ascii="Times New Roman" w:hAnsi="Times New Roman" w:eastAsia="Times New Roman" w:cs="Times New Roman"/>
          <w:b w:val="0"/>
          <w:i w:val="0"/>
          <w:color w:val="000000"/>
          <w:sz w:val="24"/>
        </w:rPr>
        <w:t xml:space="preserve"> (FIPS PUB 197, Update 1). https://doi.org/10.6028/NIST.FIPS.197-upd1</w:t>
      </w:r>
    </w:p>
    <w:p>
      <w:pPr>
        <w:spacing w:line="480" w:lineRule="auto" w:before="0" w:after="0"/>
        <w:ind w:left="720" w:hanging="720"/>
      </w:pPr>
      <w:r>
        <w:rPr>
          <w:rFonts w:ascii="Times New Roman" w:hAnsi="Times New Roman" w:eastAsia="Times New Roman" w:cs="Times New Roman"/>
          <w:b w:val="0"/>
          <w:i w:val="0"/>
          <w:color w:val="000000"/>
          <w:sz w:val="24"/>
        </w:rPr>
        <w:t xml:space="preserve">National Institute of Standards and Technology. (2024). </w:t>
      </w:r>
      <w:r>
        <w:rPr>
          <w:rFonts w:ascii="Times New Roman" w:hAnsi="Times New Roman" w:eastAsia="Times New Roman" w:cs="Times New Roman"/>
          <w:b w:val="0"/>
          <w:i/>
          <w:color w:val="000000"/>
          <w:sz w:val="24"/>
        </w:rPr>
        <w:t>Module-lattice-based key-encapsulation mechanism standard</w:t>
      </w:r>
      <w:r>
        <w:rPr>
          <w:rFonts w:ascii="Times New Roman" w:hAnsi="Times New Roman" w:eastAsia="Times New Roman" w:cs="Times New Roman"/>
          <w:b w:val="0"/>
          <w:i w:val="0"/>
          <w:color w:val="000000"/>
          <w:sz w:val="24"/>
        </w:rPr>
        <w:t xml:space="preserve"> (FIPS 203). https://doi.org/10.6028/NIST.FIPS.203</w:t>
      </w:r>
    </w:p>
    <w:p>
      <w:pPr>
        <w:spacing w:line="480" w:lineRule="auto" w:before="0" w:after="0"/>
        <w:ind w:left="720" w:hanging="720"/>
      </w:pPr>
      <w:r>
        <w:rPr>
          <w:rFonts w:ascii="Times New Roman" w:hAnsi="Times New Roman" w:eastAsia="Times New Roman" w:cs="Times New Roman"/>
          <w:b w:val="0"/>
          <w:i w:val="0"/>
          <w:color w:val="000000"/>
          <w:sz w:val="24"/>
        </w:rPr>
        <w:t xml:space="preserve">Oracle. (n.d.). </w:t>
      </w:r>
      <w:r>
        <w:rPr>
          <w:rFonts w:ascii="Times New Roman" w:hAnsi="Times New Roman" w:eastAsia="Times New Roman" w:cs="Times New Roman"/>
          <w:b w:val="0"/>
          <w:i/>
          <w:color w:val="000000"/>
          <w:sz w:val="24"/>
        </w:rPr>
        <w:t>Java security standard algorithm names</w:t>
      </w:r>
      <w:r>
        <w:rPr>
          <w:rFonts w:ascii="Times New Roman" w:hAnsi="Times New Roman" w:eastAsia="Times New Roman" w:cs="Times New Roman"/>
          <w:b w:val="0"/>
          <w:i w:val="0"/>
          <w:color w:val="000000"/>
          <w:sz w:val="24"/>
        </w:rPr>
        <w:t>. Retrieved September 14, 2026, from https://docs.oracle.com/en/java/javase/21/docs/specs/security/standard-names.html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color w:val="00000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